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65" w:rsidRPr="00EC0A98" w:rsidRDefault="00D6628B">
      <w:pPr>
        <w:jc w:val="center"/>
        <w:rPr>
          <w:rFonts w:cs="Times New Roman"/>
        </w:rPr>
      </w:pPr>
      <w:r w:rsidRPr="00EC0A98">
        <w:rPr>
          <w:rFonts w:cs="Times New Roman"/>
          <w:b/>
          <w:sz w:val="26"/>
        </w:rPr>
        <w:t>T.C.</w:t>
      </w:r>
    </w:p>
    <w:p w:rsidR="007A3F65" w:rsidRPr="00EC0A98" w:rsidRDefault="00D6628B">
      <w:pPr>
        <w:jc w:val="center"/>
        <w:rPr>
          <w:rFonts w:cs="Times New Roman"/>
        </w:rPr>
      </w:pPr>
      <w:r w:rsidRPr="00EC0A98">
        <w:rPr>
          <w:rFonts w:cs="Times New Roman"/>
          <w:b/>
          <w:sz w:val="28"/>
        </w:rPr>
        <w:t>KİLİS 7 ARALIK ÜNİVERSİTESİ</w:t>
      </w:r>
    </w:p>
    <w:p w:rsidR="007A3F65" w:rsidRPr="00EC0A98" w:rsidRDefault="00D6628B">
      <w:pPr>
        <w:jc w:val="center"/>
        <w:rPr>
          <w:rFonts w:cs="Times New Roman"/>
        </w:rPr>
      </w:pPr>
      <w:r w:rsidRPr="00EC0A98">
        <w:rPr>
          <w:rFonts w:cs="Times New Roman"/>
          <w:b/>
          <w:sz w:val="28"/>
        </w:rPr>
        <w:t>İLAHİYAT FAKÜLTESİ</w:t>
      </w:r>
    </w:p>
    <w:p w:rsidR="007A3F65" w:rsidRPr="00EC0A98" w:rsidRDefault="007A3F65">
      <w:pPr>
        <w:rPr>
          <w:rFonts w:cs="Times New Roman"/>
        </w:rPr>
      </w:pPr>
    </w:p>
    <w:p w:rsidR="00EC0A98" w:rsidRDefault="00EC0A98">
      <w:pPr>
        <w:jc w:val="center"/>
        <w:rPr>
          <w:rFonts w:cs="Times New Roman"/>
          <w:b/>
          <w:sz w:val="30"/>
        </w:rPr>
      </w:pPr>
    </w:p>
    <w:p w:rsidR="00EC0A98" w:rsidRDefault="00EC0A98">
      <w:pPr>
        <w:jc w:val="center"/>
        <w:rPr>
          <w:rFonts w:cs="Times New Roman"/>
          <w:b/>
          <w:sz w:val="30"/>
        </w:rPr>
      </w:pPr>
    </w:p>
    <w:p w:rsidR="00EC0A98" w:rsidRDefault="00EC0A98">
      <w:pPr>
        <w:jc w:val="center"/>
        <w:rPr>
          <w:rFonts w:cs="Times New Roman"/>
          <w:b/>
          <w:sz w:val="30"/>
        </w:rPr>
      </w:pPr>
    </w:p>
    <w:p w:rsidR="00EC0A98" w:rsidRDefault="00EC0A98">
      <w:pPr>
        <w:jc w:val="center"/>
        <w:rPr>
          <w:rFonts w:cs="Times New Roman"/>
          <w:b/>
          <w:sz w:val="30"/>
        </w:rPr>
      </w:pPr>
    </w:p>
    <w:p w:rsidR="00EC0A98" w:rsidRDefault="00EC0A98">
      <w:pPr>
        <w:jc w:val="center"/>
        <w:rPr>
          <w:rFonts w:cs="Times New Roman"/>
          <w:b/>
          <w:sz w:val="30"/>
        </w:rPr>
      </w:pPr>
    </w:p>
    <w:p w:rsidR="007A3F65" w:rsidRPr="00EC0A98" w:rsidRDefault="00D6628B">
      <w:pPr>
        <w:jc w:val="center"/>
        <w:rPr>
          <w:rFonts w:cs="Times New Roman"/>
        </w:rPr>
      </w:pPr>
      <w:r w:rsidRPr="00EC0A98">
        <w:rPr>
          <w:rFonts w:cs="Times New Roman"/>
          <w:b/>
          <w:sz w:val="30"/>
        </w:rPr>
        <w:t>2025 YILI</w:t>
      </w:r>
    </w:p>
    <w:p w:rsidR="007A3F65" w:rsidRPr="00EC0A98" w:rsidRDefault="00D6628B">
      <w:pPr>
        <w:pStyle w:val="CoverTitle"/>
        <w:spacing w:after="80"/>
        <w:rPr>
          <w:rFonts w:cs="Times New Roman"/>
        </w:rPr>
      </w:pPr>
      <w:r w:rsidRPr="00EC0A98">
        <w:rPr>
          <w:rFonts w:cs="Times New Roman"/>
          <w:b w:val="0"/>
        </w:rPr>
        <w:t>BİRİM ÖZ DEĞERLENDİRME RAPORU</w:t>
      </w:r>
    </w:p>
    <w:p w:rsidR="007A3F65" w:rsidRPr="00EC0A98" w:rsidRDefault="007A3F65">
      <w:pPr>
        <w:rPr>
          <w:rFonts w:cs="Times New Roman"/>
          <w:lang w:val="tr-TR"/>
        </w:rPr>
      </w:pPr>
    </w:p>
    <w:p w:rsidR="00EC0A98" w:rsidRDefault="00EC0A98">
      <w:pPr>
        <w:jc w:val="center"/>
        <w:rPr>
          <w:rFonts w:cs="Times New Roman"/>
          <w:lang w:val="tr-TR"/>
        </w:rPr>
      </w:pPr>
    </w:p>
    <w:p w:rsidR="00EC0A98" w:rsidRDefault="00EC0A98">
      <w:pPr>
        <w:jc w:val="center"/>
        <w:rPr>
          <w:rFonts w:cs="Times New Roman"/>
          <w:lang w:val="tr-TR"/>
        </w:rPr>
      </w:pPr>
    </w:p>
    <w:p w:rsidR="00EC0A98" w:rsidRDefault="00EC0A98">
      <w:pPr>
        <w:jc w:val="center"/>
        <w:rPr>
          <w:rFonts w:cs="Times New Roman"/>
          <w:lang w:val="tr-TR"/>
        </w:rPr>
      </w:pPr>
    </w:p>
    <w:p w:rsidR="007A3F65" w:rsidRPr="00EC0A98" w:rsidRDefault="00D6628B">
      <w:pPr>
        <w:jc w:val="center"/>
        <w:rPr>
          <w:rFonts w:cs="Times New Roman"/>
        </w:rPr>
      </w:pPr>
      <w:r w:rsidRPr="00EC0A98">
        <w:rPr>
          <w:rFonts w:cs="Times New Roman"/>
          <w:lang w:val="tr-TR"/>
        </w:rPr>
        <w:t>Hazırlayan</w:t>
      </w:r>
      <w:r w:rsidRPr="00EC0A98">
        <w:rPr>
          <w:rFonts w:cs="Times New Roman"/>
        </w:rPr>
        <w:t>:</w:t>
      </w:r>
      <w:r w:rsidRPr="00EC0A98">
        <w:rPr>
          <w:rFonts w:cs="Times New Roman"/>
          <w:lang w:val="tr-TR"/>
        </w:rPr>
        <w:t xml:space="preserve"> </w:t>
      </w:r>
      <w:r w:rsidR="00EC0A98">
        <w:rPr>
          <w:rFonts w:cs="Times New Roman"/>
          <w:lang w:val="tr-TR"/>
        </w:rPr>
        <w:t>İlahiyat Fakültesi</w:t>
      </w:r>
    </w:p>
    <w:p w:rsidR="007A3F65" w:rsidRPr="00EC0A98" w:rsidRDefault="00D6628B">
      <w:pPr>
        <w:jc w:val="center"/>
        <w:rPr>
          <w:rFonts w:cs="Times New Roman"/>
        </w:rPr>
      </w:pPr>
      <w:r w:rsidRPr="00EC0A98">
        <w:rPr>
          <w:rFonts w:cs="Times New Roman"/>
        </w:rPr>
        <w:t>Rapor Dönemi: 1 Ocak - 31 Aralık 2025</w:t>
      </w:r>
    </w:p>
    <w:p w:rsidR="007A3F65" w:rsidRDefault="007A3F65">
      <w:pPr>
        <w:rPr>
          <w:rFonts w:cs="Times New Roman"/>
        </w:rPr>
      </w:pPr>
    </w:p>
    <w:p w:rsidR="00EC0A98" w:rsidRDefault="00EC0A98">
      <w:pPr>
        <w:rPr>
          <w:rFonts w:cs="Times New Roman"/>
        </w:rPr>
      </w:pPr>
    </w:p>
    <w:p w:rsidR="00EC0A98" w:rsidRDefault="00EC0A98">
      <w:pPr>
        <w:rPr>
          <w:rFonts w:cs="Times New Roman"/>
        </w:rPr>
      </w:pPr>
    </w:p>
    <w:p w:rsidR="00EC0A98" w:rsidRDefault="00EC0A98">
      <w:pPr>
        <w:rPr>
          <w:rFonts w:cs="Times New Roman"/>
        </w:rPr>
      </w:pPr>
    </w:p>
    <w:p w:rsidR="00EC0A98" w:rsidRDefault="00EC0A98">
      <w:pPr>
        <w:rPr>
          <w:rFonts w:cs="Times New Roman"/>
        </w:rPr>
      </w:pPr>
    </w:p>
    <w:p w:rsidR="00EC0A98" w:rsidRDefault="00EC0A98">
      <w:pPr>
        <w:rPr>
          <w:rFonts w:cs="Times New Roman"/>
        </w:rPr>
      </w:pPr>
    </w:p>
    <w:p w:rsidR="00EC0A98" w:rsidRDefault="00EC0A98">
      <w:pPr>
        <w:rPr>
          <w:rFonts w:cs="Times New Roman"/>
        </w:rPr>
      </w:pPr>
    </w:p>
    <w:p w:rsidR="00EC0A98" w:rsidRPr="00EC0A98" w:rsidRDefault="00EC0A98" w:rsidP="00EC0A98">
      <w:pPr>
        <w:jc w:val="center"/>
        <w:rPr>
          <w:rFonts w:cs="Times New Roman"/>
          <w:b/>
        </w:rPr>
      </w:pPr>
      <w:r w:rsidRPr="00EC0A98">
        <w:rPr>
          <w:rFonts w:cs="Times New Roman"/>
          <w:b/>
        </w:rPr>
        <w:t>2026</w:t>
      </w:r>
    </w:p>
    <w:p w:rsidR="007A3F65" w:rsidRPr="00EC0A98" w:rsidRDefault="00D6628B" w:rsidP="00EC0A98">
      <w:pPr>
        <w:jc w:val="center"/>
        <w:rPr>
          <w:rFonts w:cs="Times New Roman"/>
        </w:rPr>
      </w:pPr>
      <w:r w:rsidRPr="00EC0A98">
        <w:rPr>
          <w:rFonts w:cs="Times New Roman"/>
          <w:b/>
        </w:rPr>
        <w:t>Kilis</w:t>
      </w:r>
    </w:p>
    <w:p w:rsidR="007A3F65" w:rsidRPr="00EC0A98" w:rsidRDefault="00D6628B">
      <w:pPr>
        <w:spacing w:before="800"/>
        <w:rPr>
          <w:rFonts w:cs="Times New Roman"/>
        </w:rPr>
      </w:pPr>
      <w:r w:rsidRPr="00EC0A98">
        <w:rPr>
          <w:rFonts w:cs="Times New Roman"/>
          <w:i/>
          <w:sz w:val="18"/>
        </w:rPr>
        <w:t>.</w:t>
      </w:r>
    </w:p>
    <w:p w:rsidR="007A3F65" w:rsidRPr="00EC0A98" w:rsidRDefault="00D6628B">
      <w:pPr>
        <w:rPr>
          <w:rFonts w:cs="Times New Roman"/>
        </w:rPr>
      </w:pPr>
      <w:r w:rsidRPr="00EC0A98">
        <w:rPr>
          <w:rFonts w:cs="Times New Roman"/>
        </w:rPr>
        <w:br w:type="page"/>
      </w:r>
    </w:p>
    <w:p w:rsidR="007A3F65" w:rsidRPr="00EC0A98" w:rsidRDefault="00D6628B">
      <w:pPr>
        <w:pStyle w:val="Balk1"/>
        <w:rPr>
          <w:rFonts w:ascii="Times New Roman" w:hAnsi="Times New Roman" w:cs="Times New Roman"/>
        </w:rPr>
      </w:pPr>
      <w:r w:rsidRPr="00EC0A98">
        <w:rPr>
          <w:rFonts w:ascii="Times New Roman" w:hAnsi="Times New Roman" w:cs="Times New Roman"/>
        </w:rPr>
        <w:lastRenderedPageBreak/>
        <w:t xml:space="preserve">BİRİM KALİTE KOMİTESİ </w:t>
      </w:r>
      <w:r w:rsidR="00CD69D5">
        <w:rPr>
          <w:rFonts w:ascii="Times New Roman" w:hAnsi="Times New Roman" w:cs="Times New Roman"/>
        </w:rPr>
        <w:t>NİHAİ</w:t>
      </w:r>
      <w:r w:rsidRPr="00EC0A98">
        <w:rPr>
          <w:rFonts w:ascii="Times New Roman" w:hAnsi="Times New Roman" w:cs="Times New Roman"/>
        </w:rPr>
        <w:t xml:space="preserve"> KAPAK BİLGİSİ</w:t>
      </w:r>
    </w:p>
    <w:p w:rsidR="007A3F65" w:rsidRPr="00EC0A98" w:rsidRDefault="00D6628B">
      <w:pPr>
        <w:rPr>
          <w:rFonts w:cs="Times New Roman"/>
        </w:rPr>
      </w:pPr>
      <w:r w:rsidRPr="00EC0A98">
        <w:rPr>
          <w:rFonts w:cs="Times New Roman"/>
        </w:rPr>
        <w:t>Aşağıdaki liste, fakültenin resmi Birim Kalite Komitesi sayfasında yer alan bilgiler esas alınarak rapor kapağına uyarlanmıştır. Nihai raporda komisyonun güncel görevlendirme yazısı ve öğrenci temsilcisinin güncel durumu doğrulanmalıdır.</w:t>
      </w:r>
    </w:p>
    <w:tbl>
      <w:tblPr>
        <w:tblStyle w:val="TabloKlavuzu"/>
        <w:tblW w:w="0" w:type="auto"/>
        <w:jc w:val="center"/>
        <w:tblLook w:val="04A0" w:firstRow="1" w:lastRow="0" w:firstColumn="1" w:lastColumn="0" w:noHBand="0" w:noVBand="1"/>
      </w:tblPr>
      <w:tblGrid>
        <w:gridCol w:w="2154"/>
        <w:gridCol w:w="2721"/>
        <w:gridCol w:w="2268"/>
        <w:gridCol w:w="1701"/>
      </w:tblGrid>
      <w:tr w:rsidR="007A3F65" w:rsidRPr="00EC0A98">
        <w:trPr>
          <w:jc w:val="center"/>
        </w:trPr>
        <w:tc>
          <w:tcPr>
            <w:tcW w:w="2154" w:type="dxa"/>
            <w:shd w:val="clear" w:color="auto" w:fill="D9EAF7"/>
            <w:vAlign w:val="center"/>
          </w:tcPr>
          <w:p w:rsidR="007A3F65" w:rsidRPr="00EC0A98" w:rsidRDefault="00D6628B">
            <w:pPr>
              <w:spacing w:after="0"/>
              <w:jc w:val="center"/>
              <w:rPr>
                <w:rFonts w:cs="Times New Roman"/>
              </w:rPr>
            </w:pPr>
            <w:r w:rsidRPr="00EC0A98">
              <w:rPr>
                <w:rFonts w:cs="Times New Roman"/>
                <w:b/>
                <w:sz w:val="18"/>
              </w:rPr>
              <w:t>Birim/Kurum</w:t>
            </w:r>
          </w:p>
        </w:tc>
        <w:tc>
          <w:tcPr>
            <w:tcW w:w="2721" w:type="dxa"/>
            <w:shd w:val="clear" w:color="auto" w:fill="D9EAF7"/>
            <w:vAlign w:val="center"/>
          </w:tcPr>
          <w:p w:rsidR="007A3F65" w:rsidRPr="00EC0A98" w:rsidRDefault="00D6628B">
            <w:pPr>
              <w:spacing w:after="0"/>
              <w:jc w:val="center"/>
              <w:rPr>
                <w:rFonts w:cs="Times New Roman"/>
              </w:rPr>
            </w:pPr>
            <w:r w:rsidRPr="00EC0A98">
              <w:rPr>
                <w:rFonts w:cs="Times New Roman"/>
                <w:b/>
                <w:sz w:val="18"/>
              </w:rPr>
              <w:t>Adı Soyadı</w:t>
            </w:r>
          </w:p>
        </w:tc>
        <w:tc>
          <w:tcPr>
            <w:tcW w:w="2268" w:type="dxa"/>
            <w:shd w:val="clear" w:color="auto" w:fill="D9EAF7"/>
            <w:vAlign w:val="center"/>
          </w:tcPr>
          <w:p w:rsidR="007A3F65" w:rsidRPr="00EC0A98" w:rsidRDefault="00D6628B">
            <w:pPr>
              <w:spacing w:after="0"/>
              <w:jc w:val="center"/>
              <w:rPr>
                <w:rFonts w:cs="Times New Roman"/>
              </w:rPr>
            </w:pPr>
            <w:r w:rsidRPr="00EC0A98">
              <w:rPr>
                <w:rFonts w:cs="Times New Roman"/>
                <w:b/>
                <w:sz w:val="18"/>
              </w:rPr>
              <w:t>Görevi</w:t>
            </w:r>
          </w:p>
        </w:tc>
        <w:tc>
          <w:tcPr>
            <w:tcW w:w="1701" w:type="dxa"/>
            <w:shd w:val="clear" w:color="auto" w:fill="D9EAF7"/>
            <w:vAlign w:val="center"/>
          </w:tcPr>
          <w:p w:rsidR="007A3F65" w:rsidRPr="00EC0A98" w:rsidRDefault="00D6628B">
            <w:pPr>
              <w:spacing w:after="0"/>
              <w:jc w:val="center"/>
              <w:rPr>
                <w:rFonts w:cs="Times New Roman"/>
              </w:rPr>
            </w:pPr>
            <w:r w:rsidRPr="00EC0A98">
              <w:rPr>
                <w:rFonts w:cs="Times New Roman"/>
                <w:b/>
                <w:sz w:val="18"/>
              </w:rPr>
              <w:t>Komitedeki Rolü</w:t>
            </w:r>
          </w:p>
        </w:tc>
      </w:tr>
      <w:tr w:rsidR="007A3F65" w:rsidRPr="00EC0A98">
        <w:trPr>
          <w:jc w:val="center"/>
        </w:trPr>
        <w:tc>
          <w:tcPr>
            <w:tcW w:w="2154" w:type="dxa"/>
            <w:vAlign w:val="center"/>
          </w:tcPr>
          <w:p w:rsidR="007A3F65" w:rsidRPr="00EC0A98" w:rsidRDefault="00D6628B">
            <w:pPr>
              <w:spacing w:after="0"/>
              <w:jc w:val="center"/>
              <w:rPr>
                <w:rFonts w:cs="Times New Roman"/>
              </w:rPr>
            </w:pPr>
            <w:r w:rsidRPr="00EC0A98">
              <w:rPr>
                <w:rFonts w:cs="Times New Roman"/>
                <w:sz w:val="18"/>
              </w:rPr>
              <w:t>İlahiyat Fakültesi</w:t>
            </w:r>
          </w:p>
        </w:tc>
        <w:tc>
          <w:tcPr>
            <w:tcW w:w="2721" w:type="dxa"/>
            <w:vAlign w:val="center"/>
          </w:tcPr>
          <w:p w:rsidR="007A3F65" w:rsidRPr="00EC0A98" w:rsidRDefault="00D6628B">
            <w:pPr>
              <w:spacing w:after="0"/>
              <w:jc w:val="left"/>
              <w:rPr>
                <w:rFonts w:cs="Times New Roman"/>
              </w:rPr>
            </w:pPr>
            <w:r w:rsidRPr="00EC0A98">
              <w:rPr>
                <w:rFonts w:cs="Times New Roman"/>
                <w:sz w:val="18"/>
              </w:rPr>
              <w:t>Prof. Dr. Halil ALDEMİR</w:t>
            </w:r>
          </w:p>
        </w:tc>
        <w:tc>
          <w:tcPr>
            <w:tcW w:w="2268" w:type="dxa"/>
            <w:vAlign w:val="center"/>
          </w:tcPr>
          <w:p w:rsidR="007A3F65" w:rsidRPr="00EC0A98" w:rsidRDefault="00D6628B">
            <w:pPr>
              <w:spacing w:after="0"/>
              <w:jc w:val="center"/>
              <w:rPr>
                <w:rFonts w:cs="Times New Roman"/>
              </w:rPr>
            </w:pPr>
            <w:r w:rsidRPr="00EC0A98">
              <w:rPr>
                <w:rFonts w:cs="Times New Roman"/>
                <w:sz w:val="18"/>
              </w:rPr>
              <w:t>Dekan</w:t>
            </w:r>
          </w:p>
        </w:tc>
        <w:tc>
          <w:tcPr>
            <w:tcW w:w="1701" w:type="dxa"/>
            <w:vAlign w:val="center"/>
          </w:tcPr>
          <w:p w:rsidR="007A3F65" w:rsidRPr="00EC0A98" w:rsidRDefault="00D6628B">
            <w:pPr>
              <w:spacing w:after="0"/>
              <w:jc w:val="center"/>
              <w:rPr>
                <w:rFonts w:cs="Times New Roman"/>
              </w:rPr>
            </w:pPr>
            <w:r w:rsidRPr="00EC0A98">
              <w:rPr>
                <w:rFonts w:cs="Times New Roman"/>
                <w:sz w:val="18"/>
              </w:rPr>
              <w:t>Başkan</w:t>
            </w:r>
          </w:p>
        </w:tc>
      </w:tr>
      <w:tr w:rsidR="007A3F65" w:rsidRPr="00EC0A98">
        <w:trPr>
          <w:jc w:val="center"/>
        </w:trPr>
        <w:tc>
          <w:tcPr>
            <w:tcW w:w="2154" w:type="dxa"/>
            <w:vAlign w:val="center"/>
          </w:tcPr>
          <w:p w:rsidR="007A3F65" w:rsidRPr="00EC0A98" w:rsidRDefault="00D6628B">
            <w:pPr>
              <w:spacing w:after="0"/>
              <w:jc w:val="center"/>
              <w:rPr>
                <w:rFonts w:cs="Times New Roman"/>
              </w:rPr>
            </w:pPr>
            <w:r w:rsidRPr="00EC0A98">
              <w:rPr>
                <w:rFonts w:cs="Times New Roman"/>
                <w:sz w:val="18"/>
              </w:rPr>
              <w:t>İlahiyat Fakültesi</w:t>
            </w:r>
          </w:p>
        </w:tc>
        <w:tc>
          <w:tcPr>
            <w:tcW w:w="2721" w:type="dxa"/>
            <w:vAlign w:val="center"/>
          </w:tcPr>
          <w:p w:rsidR="007A3F65" w:rsidRPr="00EC0A98" w:rsidRDefault="00D6628B">
            <w:pPr>
              <w:spacing w:after="0"/>
              <w:jc w:val="left"/>
              <w:rPr>
                <w:rFonts w:cs="Times New Roman"/>
              </w:rPr>
            </w:pPr>
            <w:r w:rsidRPr="00EC0A98">
              <w:rPr>
                <w:rFonts w:cs="Times New Roman"/>
                <w:sz w:val="18"/>
              </w:rPr>
              <w:t>Doç. Dr. Mehmet KARAKUŞ</w:t>
            </w:r>
          </w:p>
        </w:tc>
        <w:tc>
          <w:tcPr>
            <w:tcW w:w="2268" w:type="dxa"/>
            <w:vAlign w:val="center"/>
          </w:tcPr>
          <w:p w:rsidR="007A3F65" w:rsidRPr="00EC0A98" w:rsidRDefault="00D6628B">
            <w:pPr>
              <w:spacing w:after="0"/>
              <w:jc w:val="center"/>
              <w:rPr>
                <w:rFonts w:cs="Times New Roman"/>
              </w:rPr>
            </w:pPr>
            <w:r w:rsidRPr="00EC0A98">
              <w:rPr>
                <w:rFonts w:cs="Times New Roman"/>
                <w:sz w:val="18"/>
              </w:rPr>
              <w:t>Dekan Yardımcısı</w:t>
            </w:r>
          </w:p>
        </w:tc>
        <w:tc>
          <w:tcPr>
            <w:tcW w:w="1701" w:type="dxa"/>
            <w:vAlign w:val="center"/>
          </w:tcPr>
          <w:p w:rsidR="007A3F65" w:rsidRPr="00EC0A98" w:rsidRDefault="00D6628B">
            <w:pPr>
              <w:spacing w:after="0"/>
              <w:jc w:val="center"/>
              <w:rPr>
                <w:rFonts w:cs="Times New Roman"/>
              </w:rPr>
            </w:pPr>
            <w:r w:rsidRPr="00EC0A98">
              <w:rPr>
                <w:rFonts w:cs="Times New Roman"/>
                <w:sz w:val="18"/>
              </w:rPr>
              <w:t>Başkan Vekili</w:t>
            </w:r>
          </w:p>
        </w:tc>
      </w:tr>
      <w:tr w:rsidR="007A3F65" w:rsidRPr="00EC0A98">
        <w:trPr>
          <w:jc w:val="center"/>
        </w:trPr>
        <w:tc>
          <w:tcPr>
            <w:tcW w:w="2154" w:type="dxa"/>
            <w:vAlign w:val="center"/>
          </w:tcPr>
          <w:p w:rsidR="007A3F65" w:rsidRPr="00EC0A98" w:rsidRDefault="00D6628B">
            <w:pPr>
              <w:spacing w:after="0"/>
              <w:jc w:val="center"/>
              <w:rPr>
                <w:rFonts w:cs="Times New Roman"/>
              </w:rPr>
            </w:pPr>
            <w:r w:rsidRPr="00EC0A98">
              <w:rPr>
                <w:rFonts w:cs="Times New Roman"/>
                <w:sz w:val="18"/>
              </w:rPr>
              <w:t>İlahiyat Fakültesi</w:t>
            </w:r>
          </w:p>
        </w:tc>
        <w:tc>
          <w:tcPr>
            <w:tcW w:w="2721" w:type="dxa"/>
            <w:vAlign w:val="center"/>
          </w:tcPr>
          <w:p w:rsidR="007A3F65" w:rsidRPr="00EC0A98" w:rsidRDefault="007B3954">
            <w:pPr>
              <w:spacing w:after="0"/>
              <w:jc w:val="center"/>
              <w:rPr>
                <w:rFonts w:cs="Times New Roman"/>
              </w:rPr>
            </w:pPr>
            <w:r w:rsidRPr="00EC0A98">
              <w:rPr>
                <w:rFonts w:cs="Times New Roman"/>
                <w:sz w:val="18"/>
              </w:rPr>
              <w:t>Dr. Alper KILIÇASLAN</w:t>
            </w:r>
          </w:p>
        </w:tc>
        <w:tc>
          <w:tcPr>
            <w:tcW w:w="2268" w:type="dxa"/>
            <w:vAlign w:val="center"/>
          </w:tcPr>
          <w:p w:rsidR="007A3F65" w:rsidRPr="00EC0A98" w:rsidRDefault="00D6628B">
            <w:pPr>
              <w:spacing w:after="0"/>
              <w:jc w:val="center"/>
              <w:rPr>
                <w:rFonts w:cs="Times New Roman"/>
              </w:rPr>
            </w:pPr>
            <w:r w:rsidRPr="00EC0A98">
              <w:rPr>
                <w:rFonts w:cs="Times New Roman"/>
                <w:sz w:val="18"/>
              </w:rPr>
              <w:t>Fakülte Sekreteri</w:t>
            </w:r>
          </w:p>
        </w:tc>
        <w:tc>
          <w:tcPr>
            <w:tcW w:w="1701" w:type="dxa"/>
            <w:vAlign w:val="center"/>
          </w:tcPr>
          <w:p w:rsidR="007A3F65" w:rsidRPr="00EC0A98" w:rsidRDefault="00D6628B">
            <w:pPr>
              <w:spacing w:after="0"/>
              <w:jc w:val="center"/>
              <w:rPr>
                <w:rFonts w:cs="Times New Roman"/>
              </w:rPr>
            </w:pPr>
            <w:r w:rsidRPr="00EC0A98">
              <w:rPr>
                <w:rFonts w:cs="Times New Roman"/>
                <w:sz w:val="18"/>
              </w:rPr>
              <w:t>Üye</w:t>
            </w:r>
          </w:p>
        </w:tc>
      </w:tr>
      <w:tr w:rsidR="007A3F65" w:rsidRPr="00EC0A98">
        <w:trPr>
          <w:jc w:val="center"/>
        </w:trPr>
        <w:tc>
          <w:tcPr>
            <w:tcW w:w="2154" w:type="dxa"/>
            <w:vAlign w:val="center"/>
          </w:tcPr>
          <w:p w:rsidR="007A3F65" w:rsidRPr="00EC0A98" w:rsidRDefault="00D6628B">
            <w:pPr>
              <w:spacing w:after="0"/>
              <w:jc w:val="center"/>
              <w:rPr>
                <w:rFonts w:cs="Times New Roman"/>
              </w:rPr>
            </w:pPr>
            <w:r w:rsidRPr="00EC0A98">
              <w:rPr>
                <w:rFonts w:cs="Times New Roman"/>
                <w:sz w:val="18"/>
              </w:rPr>
              <w:t>İlahiyat Fakültesi</w:t>
            </w:r>
          </w:p>
        </w:tc>
        <w:tc>
          <w:tcPr>
            <w:tcW w:w="2721" w:type="dxa"/>
            <w:vAlign w:val="center"/>
          </w:tcPr>
          <w:p w:rsidR="007A3F65" w:rsidRPr="00EC0A98" w:rsidRDefault="00D6628B">
            <w:pPr>
              <w:spacing w:after="0"/>
              <w:jc w:val="left"/>
              <w:rPr>
                <w:rFonts w:cs="Times New Roman"/>
              </w:rPr>
            </w:pPr>
            <w:r w:rsidRPr="00EC0A98">
              <w:rPr>
                <w:rFonts w:cs="Times New Roman"/>
                <w:sz w:val="18"/>
              </w:rPr>
              <w:t>Dr. Öğr. Üyesi Metin GÜVEN</w:t>
            </w:r>
          </w:p>
        </w:tc>
        <w:tc>
          <w:tcPr>
            <w:tcW w:w="2268" w:type="dxa"/>
            <w:vAlign w:val="center"/>
          </w:tcPr>
          <w:p w:rsidR="007A3F65" w:rsidRPr="00EC0A98" w:rsidRDefault="00D6628B">
            <w:pPr>
              <w:spacing w:after="0"/>
              <w:jc w:val="center"/>
              <w:rPr>
                <w:rFonts w:cs="Times New Roman"/>
              </w:rPr>
            </w:pPr>
            <w:r w:rsidRPr="00EC0A98">
              <w:rPr>
                <w:rFonts w:cs="Times New Roman"/>
                <w:sz w:val="18"/>
              </w:rPr>
              <w:t>Akademik Personel</w:t>
            </w:r>
          </w:p>
        </w:tc>
        <w:tc>
          <w:tcPr>
            <w:tcW w:w="1701" w:type="dxa"/>
            <w:vAlign w:val="center"/>
          </w:tcPr>
          <w:p w:rsidR="007A3F65" w:rsidRPr="00EC0A98" w:rsidRDefault="00D6628B">
            <w:pPr>
              <w:spacing w:after="0"/>
              <w:jc w:val="center"/>
              <w:rPr>
                <w:rFonts w:cs="Times New Roman"/>
              </w:rPr>
            </w:pPr>
            <w:r w:rsidRPr="00EC0A98">
              <w:rPr>
                <w:rFonts w:cs="Times New Roman"/>
                <w:sz w:val="18"/>
              </w:rPr>
              <w:t>Üye</w:t>
            </w:r>
          </w:p>
        </w:tc>
      </w:tr>
      <w:tr w:rsidR="007A3F65" w:rsidRPr="00EC0A98">
        <w:trPr>
          <w:jc w:val="center"/>
        </w:trPr>
        <w:tc>
          <w:tcPr>
            <w:tcW w:w="2154" w:type="dxa"/>
            <w:vAlign w:val="center"/>
          </w:tcPr>
          <w:p w:rsidR="007A3F65" w:rsidRPr="00EC0A98" w:rsidRDefault="00D6628B">
            <w:pPr>
              <w:spacing w:after="0"/>
              <w:jc w:val="left"/>
              <w:rPr>
                <w:rFonts w:cs="Times New Roman"/>
              </w:rPr>
            </w:pPr>
            <w:r w:rsidRPr="00EC0A98">
              <w:rPr>
                <w:rFonts w:cs="Times New Roman"/>
                <w:sz w:val="18"/>
              </w:rPr>
              <w:t>Sivil Toplum Kuruluşu</w:t>
            </w:r>
          </w:p>
        </w:tc>
        <w:tc>
          <w:tcPr>
            <w:tcW w:w="2721" w:type="dxa"/>
            <w:vAlign w:val="center"/>
          </w:tcPr>
          <w:p w:rsidR="007A3F65" w:rsidRPr="00EC0A98" w:rsidRDefault="00D6628B">
            <w:pPr>
              <w:spacing w:after="0"/>
              <w:jc w:val="center"/>
              <w:rPr>
                <w:rFonts w:cs="Times New Roman"/>
              </w:rPr>
            </w:pPr>
            <w:r w:rsidRPr="00EC0A98">
              <w:rPr>
                <w:rFonts w:cs="Times New Roman"/>
                <w:sz w:val="18"/>
              </w:rPr>
              <w:t>Ahmet Cihat AKTI</w:t>
            </w:r>
          </w:p>
        </w:tc>
        <w:tc>
          <w:tcPr>
            <w:tcW w:w="2268" w:type="dxa"/>
            <w:vAlign w:val="center"/>
          </w:tcPr>
          <w:p w:rsidR="007A3F65" w:rsidRPr="00EC0A98" w:rsidRDefault="00D6628B">
            <w:pPr>
              <w:spacing w:after="0"/>
              <w:jc w:val="center"/>
              <w:rPr>
                <w:rFonts w:cs="Times New Roman"/>
              </w:rPr>
            </w:pPr>
            <w:r w:rsidRPr="00EC0A98">
              <w:rPr>
                <w:rFonts w:cs="Times New Roman"/>
                <w:sz w:val="18"/>
              </w:rPr>
              <w:t>STK Temsilcisi</w:t>
            </w:r>
          </w:p>
        </w:tc>
        <w:tc>
          <w:tcPr>
            <w:tcW w:w="1701" w:type="dxa"/>
            <w:vAlign w:val="center"/>
          </w:tcPr>
          <w:p w:rsidR="007A3F65" w:rsidRPr="00EC0A98" w:rsidRDefault="00D6628B">
            <w:pPr>
              <w:spacing w:after="0"/>
              <w:jc w:val="center"/>
              <w:rPr>
                <w:rFonts w:cs="Times New Roman"/>
              </w:rPr>
            </w:pPr>
            <w:r w:rsidRPr="00EC0A98">
              <w:rPr>
                <w:rFonts w:cs="Times New Roman"/>
                <w:sz w:val="18"/>
              </w:rPr>
              <w:t>Üye</w:t>
            </w:r>
          </w:p>
        </w:tc>
      </w:tr>
      <w:tr w:rsidR="007A3F65" w:rsidRPr="00EC0A98">
        <w:trPr>
          <w:jc w:val="center"/>
        </w:trPr>
        <w:tc>
          <w:tcPr>
            <w:tcW w:w="2154" w:type="dxa"/>
            <w:vAlign w:val="center"/>
          </w:tcPr>
          <w:p w:rsidR="007A3F65" w:rsidRPr="00EC0A98" w:rsidRDefault="00D6628B">
            <w:pPr>
              <w:spacing w:after="0"/>
              <w:jc w:val="center"/>
              <w:rPr>
                <w:rFonts w:cs="Times New Roman"/>
              </w:rPr>
            </w:pPr>
            <w:r w:rsidRPr="00EC0A98">
              <w:rPr>
                <w:rFonts w:cs="Times New Roman"/>
                <w:sz w:val="18"/>
              </w:rPr>
              <w:t>İlahiyat Fakültesi</w:t>
            </w:r>
          </w:p>
        </w:tc>
        <w:tc>
          <w:tcPr>
            <w:tcW w:w="2721" w:type="dxa"/>
            <w:vAlign w:val="center"/>
          </w:tcPr>
          <w:p w:rsidR="007A3F65" w:rsidRPr="00EC0A98" w:rsidRDefault="00D6628B">
            <w:pPr>
              <w:spacing w:after="0"/>
              <w:jc w:val="center"/>
              <w:rPr>
                <w:rFonts w:cs="Times New Roman"/>
              </w:rPr>
            </w:pPr>
            <w:r w:rsidRPr="00EC0A98">
              <w:rPr>
                <w:rFonts w:cs="Times New Roman"/>
                <w:sz w:val="18"/>
              </w:rPr>
              <w:t>Sakine Ceren KURT</w:t>
            </w:r>
          </w:p>
        </w:tc>
        <w:tc>
          <w:tcPr>
            <w:tcW w:w="2268" w:type="dxa"/>
            <w:vAlign w:val="center"/>
          </w:tcPr>
          <w:p w:rsidR="007A3F65" w:rsidRPr="00EC0A98" w:rsidRDefault="00D6628B">
            <w:pPr>
              <w:spacing w:after="0"/>
              <w:jc w:val="center"/>
              <w:rPr>
                <w:rFonts w:cs="Times New Roman"/>
              </w:rPr>
            </w:pPr>
            <w:r w:rsidRPr="00EC0A98">
              <w:rPr>
                <w:rFonts w:cs="Times New Roman"/>
                <w:sz w:val="18"/>
              </w:rPr>
              <w:t>Öğrenci</w:t>
            </w:r>
          </w:p>
        </w:tc>
        <w:tc>
          <w:tcPr>
            <w:tcW w:w="1701" w:type="dxa"/>
            <w:vAlign w:val="center"/>
          </w:tcPr>
          <w:p w:rsidR="007A3F65" w:rsidRPr="00EC0A98" w:rsidRDefault="00D6628B">
            <w:pPr>
              <w:spacing w:after="0"/>
              <w:jc w:val="center"/>
              <w:rPr>
                <w:rFonts w:cs="Times New Roman"/>
              </w:rPr>
            </w:pPr>
            <w:r w:rsidRPr="00EC0A98">
              <w:rPr>
                <w:rFonts w:cs="Times New Roman"/>
                <w:sz w:val="18"/>
              </w:rPr>
              <w:t>Üye</w:t>
            </w:r>
          </w:p>
        </w:tc>
      </w:tr>
    </w:tbl>
    <w:p w:rsidR="007A3F65" w:rsidRPr="00EC0A98" w:rsidRDefault="00D6628B">
      <w:pPr>
        <w:rPr>
          <w:rFonts w:cs="Times New Roman"/>
        </w:rPr>
      </w:pPr>
      <w:r w:rsidRPr="00EC0A98">
        <w:rPr>
          <w:rFonts w:cs="Times New Roman"/>
        </w:rPr>
        <w:br w:type="page"/>
      </w:r>
    </w:p>
    <w:p w:rsidR="007A3F65" w:rsidRPr="00EC0A98" w:rsidRDefault="00D6628B">
      <w:pPr>
        <w:pStyle w:val="Balk1"/>
        <w:rPr>
          <w:rFonts w:ascii="Times New Roman" w:hAnsi="Times New Roman" w:cs="Times New Roman"/>
        </w:rPr>
      </w:pPr>
      <w:r w:rsidRPr="00EC0A98">
        <w:rPr>
          <w:rFonts w:ascii="Times New Roman" w:hAnsi="Times New Roman" w:cs="Times New Roman"/>
        </w:rPr>
        <w:lastRenderedPageBreak/>
        <w:t>İÇİNDEKİLER</w:t>
      </w:r>
    </w:p>
    <w:p w:rsidR="007A3F65" w:rsidRPr="00EC0A98" w:rsidRDefault="00D6628B">
      <w:pPr>
        <w:spacing w:after="40"/>
        <w:ind w:left="170"/>
        <w:rPr>
          <w:rFonts w:cs="Times New Roman"/>
        </w:rPr>
      </w:pPr>
      <w:r w:rsidRPr="00EC0A98">
        <w:rPr>
          <w:rFonts w:cs="Times New Roman"/>
        </w:rPr>
        <w:t>1. Yönetici Özeti</w:t>
      </w:r>
    </w:p>
    <w:p w:rsidR="007A3F65" w:rsidRPr="00EC0A98" w:rsidRDefault="00D6628B">
      <w:pPr>
        <w:spacing w:after="40"/>
        <w:ind w:left="170"/>
        <w:rPr>
          <w:rFonts w:cs="Times New Roman"/>
        </w:rPr>
      </w:pPr>
      <w:r w:rsidRPr="00EC0A98">
        <w:rPr>
          <w:rFonts w:cs="Times New Roman"/>
        </w:rPr>
        <w:t>2. Birim Hakkında Bilgiler</w:t>
      </w:r>
    </w:p>
    <w:p w:rsidR="007A3F65" w:rsidRPr="00EC0A98" w:rsidRDefault="00D6628B">
      <w:pPr>
        <w:spacing w:after="40"/>
        <w:ind w:left="170"/>
        <w:rPr>
          <w:rFonts w:cs="Times New Roman"/>
        </w:rPr>
      </w:pPr>
      <w:r w:rsidRPr="00EC0A98">
        <w:rPr>
          <w:rFonts w:cs="Times New Roman"/>
        </w:rPr>
        <w:t>3. Yöntem ve Kanıt Yaklaşımı</w:t>
      </w:r>
    </w:p>
    <w:p w:rsidR="007A3F65" w:rsidRPr="00EC0A98" w:rsidRDefault="00D6628B">
      <w:pPr>
        <w:spacing w:after="40"/>
        <w:ind w:left="170"/>
        <w:rPr>
          <w:rFonts w:cs="Times New Roman"/>
        </w:rPr>
      </w:pPr>
      <w:r w:rsidRPr="00EC0A98">
        <w:rPr>
          <w:rFonts w:cs="Times New Roman"/>
        </w:rPr>
        <w:t>4. Olgunluk Düzeyi Özet Tablosu</w:t>
      </w:r>
    </w:p>
    <w:p w:rsidR="007A3F65" w:rsidRPr="00EC0A98" w:rsidRDefault="00D6628B">
      <w:pPr>
        <w:spacing w:after="40"/>
        <w:ind w:left="170"/>
        <w:rPr>
          <w:rFonts w:cs="Times New Roman"/>
        </w:rPr>
      </w:pPr>
      <w:r w:rsidRPr="00EC0A98">
        <w:rPr>
          <w:rFonts w:cs="Times New Roman"/>
        </w:rPr>
        <w:t>A. Liderlik, Yönetişim ve Kalite</w:t>
      </w:r>
    </w:p>
    <w:p w:rsidR="007A3F65" w:rsidRPr="00EC0A98" w:rsidRDefault="00D6628B">
      <w:pPr>
        <w:spacing w:after="40"/>
        <w:ind w:left="170"/>
        <w:rPr>
          <w:rFonts w:cs="Times New Roman"/>
        </w:rPr>
      </w:pPr>
      <w:r w:rsidRPr="00EC0A98">
        <w:rPr>
          <w:rFonts w:cs="Times New Roman"/>
        </w:rPr>
        <w:t>B. Eğitim ve Öğretim</w:t>
      </w:r>
    </w:p>
    <w:p w:rsidR="007A3F65" w:rsidRPr="00EC0A98" w:rsidRDefault="00D6628B">
      <w:pPr>
        <w:spacing w:after="40"/>
        <w:ind w:left="170"/>
        <w:rPr>
          <w:rFonts w:cs="Times New Roman"/>
        </w:rPr>
      </w:pPr>
      <w:r w:rsidRPr="00EC0A98">
        <w:rPr>
          <w:rFonts w:cs="Times New Roman"/>
        </w:rPr>
        <w:t>C. Araştırma ve Geliştirme</w:t>
      </w:r>
    </w:p>
    <w:p w:rsidR="007A3F65" w:rsidRPr="00EC0A98" w:rsidRDefault="00D6628B">
      <w:pPr>
        <w:spacing w:after="40"/>
        <w:ind w:left="170"/>
        <w:rPr>
          <w:rFonts w:cs="Times New Roman"/>
        </w:rPr>
      </w:pPr>
      <w:r w:rsidRPr="00EC0A98">
        <w:rPr>
          <w:rFonts w:cs="Times New Roman"/>
        </w:rPr>
        <w:t>D. Toplumsal Katkı</w:t>
      </w:r>
    </w:p>
    <w:p w:rsidR="007A3F65" w:rsidRPr="00EC0A98" w:rsidRDefault="00D6628B">
      <w:pPr>
        <w:spacing w:after="40"/>
        <w:ind w:left="170"/>
        <w:rPr>
          <w:rFonts w:cs="Times New Roman"/>
        </w:rPr>
      </w:pPr>
      <w:r w:rsidRPr="00EC0A98">
        <w:rPr>
          <w:rFonts w:cs="Times New Roman"/>
        </w:rPr>
        <w:t>5. Güçlü Yönler ve İyileştirmeye Açık Alanlar</w:t>
      </w:r>
    </w:p>
    <w:p w:rsidR="007A3F65" w:rsidRPr="00EC0A98" w:rsidRDefault="00D6628B">
      <w:pPr>
        <w:spacing w:after="40"/>
        <w:ind w:left="170"/>
        <w:rPr>
          <w:rFonts w:cs="Times New Roman"/>
        </w:rPr>
      </w:pPr>
      <w:r w:rsidRPr="00EC0A98">
        <w:rPr>
          <w:rFonts w:cs="Times New Roman"/>
        </w:rPr>
        <w:t>6. 2026 İyileştirme Eylem Planı</w:t>
      </w:r>
    </w:p>
    <w:p w:rsidR="007A3F65" w:rsidRPr="00EC0A98" w:rsidRDefault="00EC0A98">
      <w:pPr>
        <w:spacing w:after="40"/>
        <w:ind w:left="170"/>
        <w:rPr>
          <w:rFonts w:cs="Times New Roman"/>
        </w:rPr>
      </w:pPr>
      <w:r>
        <w:rPr>
          <w:rFonts w:cs="Times New Roman"/>
        </w:rPr>
        <w:t>7</w:t>
      </w:r>
      <w:r w:rsidR="00D6628B" w:rsidRPr="00EC0A98">
        <w:rPr>
          <w:rFonts w:cs="Times New Roman"/>
        </w:rPr>
        <w:t>. Kanıt Listesi ve Kaynaklar</w:t>
      </w:r>
    </w:p>
    <w:p w:rsidR="007A3F65" w:rsidRPr="00EC0A98" w:rsidRDefault="00D6628B">
      <w:pPr>
        <w:rPr>
          <w:rFonts w:cs="Times New Roman"/>
        </w:rPr>
      </w:pPr>
      <w:r w:rsidRPr="00EC0A98">
        <w:rPr>
          <w:rFonts w:cs="Times New Roman"/>
        </w:rPr>
        <w:br w:type="page"/>
      </w:r>
    </w:p>
    <w:p w:rsidR="007A3F65" w:rsidRPr="00EC0A98" w:rsidRDefault="00D6628B">
      <w:pPr>
        <w:pStyle w:val="Balk1"/>
        <w:rPr>
          <w:rFonts w:ascii="Times New Roman" w:hAnsi="Times New Roman" w:cs="Times New Roman"/>
        </w:rPr>
      </w:pPr>
      <w:r w:rsidRPr="00EC0A98">
        <w:rPr>
          <w:rFonts w:ascii="Times New Roman" w:hAnsi="Times New Roman" w:cs="Times New Roman"/>
        </w:rPr>
        <w:lastRenderedPageBreak/>
        <w:t>1. YÖNETİCİ ÖZETİ</w:t>
      </w:r>
    </w:p>
    <w:p w:rsidR="007A3F65" w:rsidRPr="00EC0A98" w:rsidRDefault="00D6628B">
      <w:pPr>
        <w:rPr>
          <w:rFonts w:cs="Times New Roman"/>
        </w:rPr>
      </w:pPr>
      <w:r w:rsidRPr="00EC0A98">
        <w:rPr>
          <w:rFonts w:cs="Times New Roman"/>
        </w:rPr>
        <w:t xml:space="preserve">Bu </w:t>
      </w:r>
      <w:r w:rsidR="00CD69D5">
        <w:rPr>
          <w:rFonts w:cs="Times New Roman"/>
        </w:rPr>
        <w:t>Nihai</w:t>
      </w:r>
      <w:r w:rsidRPr="00EC0A98">
        <w:rPr>
          <w:rFonts w:cs="Times New Roman"/>
        </w:rPr>
        <w:t xml:space="preserve"> Birim Öz Değerlendirme Raporu, Kilis 7 Aralık Üniversitesi İlahiyat Fakültesinin 2025 yılı faaliyetlerini; liderlik, yönetişim ve kalite; eğitim ve öğretim; araştırma ve geliştirme; toplumsal katkı başlıkları altında değerlendirmek üzere hazırlanmıştır. Raporun temel amacı, fakültenin güçlü yönlerini, gelişmeye açık alanlarını, kanıtlanabilir kalite uygulamalarını ve 2026 yılı iyileştirme önceliklerini görünür hale getirmektir.</w:t>
      </w:r>
    </w:p>
    <w:p w:rsidR="007A3F65" w:rsidRPr="00EC0A98" w:rsidRDefault="00D6628B">
      <w:pPr>
        <w:rPr>
          <w:rFonts w:cs="Times New Roman"/>
        </w:rPr>
      </w:pPr>
      <w:r w:rsidRPr="00EC0A98">
        <w:rPr>
          <w:rFonts w:cs="Times New Roman"/>
        </w:rPr>
        <w:t xml:space="preserve">Çalışmada </w:t>
      </w:r>
      <w:r w:rsidR="00EC0A98" w:rsidRPr="00EC0A98">
        <w:rPr>
          <w:rFonts w:cs="Times New Roman"/>
        </w:rPr>
        <w:t>Birim Öz Değerlendirme Raporu Kılavuzu</w:t>
      </w:r>
      <w:r w:rsidRPr="00EC0A98">
        <w:rPr>
          <w:rFonts w:cs="Times New Roman"/>
        </w:rPr>
        <w:t xml:space="preserve"> model alınmıştır. Kilis 7 Aralık Üniversitesi İlahiyat Fakültesi bakımından resmi 2025 Akademik Birim Raporu, PUKÖ Döngüsü Süreç İzleme Tablosu, misyon-vizyon sayfaları, Birim Kalite Komitesi, komisyon faaliyetleri, uluslararası danışma kurulu ve fakülte web sayfasındaki açık kaynaklar kullanılmıştır.</w:t>
      </w:r>
    </w:p>
    <w:p w:rsidR="007A3F65" w:rsidRPr="00EC0A98" w:rsidRDefault="00CD69D5">
      <w:pPr>
        <w:rPr>
          <w:rFonts w:cs="Times New Roman"/>
        </w:rPr>
      </w:pPr>
      <w:r>
        <w:rPr>
          <w:rFonts w:cs="Times New Roman"/>
        </w:rPr>
        <w:t>Nihai</w:t>
      </w:r>
      <w:r w:rsidR="00D6628B" w:rsidRPr="00EC0A98">
        <w:rPr>
          <w:rFonts w:cs="Times New Roman"/>
        </w:rPr>
        <w:t xml:space="preserve"> değerlendirmeye göre fakültenin güçlü yönleri; genç ve dinamik kurumsal yapı, merkez kampüste konumlanma, lisansüstü program varlığı, nitelikli akademik kadro, güçlü araştırma çıktıları, Diyanet İşleri Başkanlığı ve toplumsal katkı faaliyetleriyle kurulan ilişki, kalite komisyonlarının aktifleşmesi ve web sayfasında kalite odaklı belge paylaşımının artmasıdır. Gelişmeye açık başlıca alanlar ise öğrenci/öğretim üyesi oranının düşürülmesi, öğrenci-mezun memnuniyet verilerinin sistematik raporlanması, paydaş katılımının ölçülebilir hale getirilmesi, PUKÖ döngüsünün sonuç kanıtlarıyla kapatılması ve uluslararasılaşma göstergelerinin artırılmasıdır.</w:t>
      </w:r>
    </w:p>
    <w:p w:rsidR="007A3F65" w:rsidRPr="00EC0A98" w:rsidRDefault="00D6628B">
      <w:pPr>
        <w:pStyle w:val="Balk1"/>
        <w:rPr>
          <w:rFonts w:ascii="Times New Roman" w:hAnsi="Times New Roman" w:cs="Times New Roman"/>
        </w:rPr>
      </w:pPr>
      <w:r w:rsidRPr="00EC0A98">
        <w:rPr>
          <w:rFonts w:ascii="Times New Roman" w:hAnsi="Times New Roman" w:cs="Times New Roman"/>
        </w:rPr>
        <w:t>2. BİRİM HAKKINDA BİLGİLER</w:t>
      </w:r>
    </w:p>
    <w:p w:rsidR="007A3F65" w:rsidRPr="00EC0A98" w:rsidRDefault="00D6628B">
      <w:pPr>
        <w:rPr>
          <w:rFonts w:cs="Times New Roman"/>
        </w:rPr>
      </w:pPr>
      <w:r w:rsidRPr="00EC0A98">
        <w:rPr>
          <w:rFonts w:cs="Times New Roman"/>
        </w:rPr>
        <w:t>Kilis 7 Aralık Üniversitesi İlahiyat Fakültesi, 10.01.2012 tarihli Bakanlar Kurulu Kararı ile kurulmuş; 2013-2014 eğitim-öğretim yılında İlahiyat Programına öğrenci alarak eğitim-öğretim faaliyetlerine başlamıştır. Fakülte 2015-2016 yılında ilk mezunlarını vermiş, 2024-2025 eğitim-öğretim yılında ise 10. mezunlarını vermiştir.</w:t>
      </w:r>
    </w:p>
    <w:p w:rsidR="007A3F65" w:rsidRPr="00EC0A98" w:rsidRDefault="00D6628B">
      <w:pPr>
        <w:rPr>
          <w:rFonts w:cs="Times New Roman"/>
        </w:rPr>
      </w:pPr>
      <w:r w:rsidRPr="00EC0A98">
        <w:rPr>
          <w:rFonts w:cs="Times New Roman"/>
        </w:rPr>
        <w:t>Fakültede Temel İslam Bilimleri, Felsefe ve Din Bilimleri ile İslam Tarihi ve Sanatları bölümleri bulunmaktadır. 2025 Akademik Birim Raporuna göre fakülte, İlahiyat Programı adı altında I. ve II. öğretim olmak üzere lisans düzeyinde eğitim vermektedir. Lisansüstü düzeyde Temel İslam Bilimleri alanında yüksek lisans ve doktora; Felsefe ve Din Bilimleri alanında ise yüksek lisans programının bulunması fakültenin akademik kapasitesini artırmaktadır.</w:t>
      </w:r>
    </w:p>
    <w:tbl>
      <w:tblPr>
        <w:tblStyle w:val="TabloKlavuzu"/>
        <w:tblW w:w="0" w:type="auto"/>
        <w:jc w:val="center"/>
        <w:tblLook w:val="04A0" w:firstRow="1" w:lastRow="0" w:firstColumn="1" w:lastColumn="0" w:noHBand="0" w:noVBand="1"/>
      </w:tblPr>
      <w:tblGrid>
        <w:gridCol w:w="2381"/>
        <w:gridCol w:w="6917"/>
      </w:tblGrid>
      <w:tr w:rsidR="007A3F65" w:rsidRPr="00EC0A98">
        <w:trPr>
          <w:jc w:val="center"/>
        </w:trPr>
        <w:tc>
          <w:tcPr>
            <w:tcW w:w="2381" w:type="dxa"/>
            <w:shd w:val="clear" w:color="auto" w:fill="D9EAF7"/>
            <w:vAlign w:val="center"/>
          </w:tcPr>
          <w:p w:rsidR="007A3F65" w:rsidRPr="00EC0A98" w:rsidRDefault="00D6628B">
            <w:pPr>
              <w:spacing w:after="0"/>
              <w:jc w:val="center"/>
              <w:rPr>
                <w:rFonts w:cs="Times New Roman"/>
              </w:rPr>
            </w:pPr>
            <w:r w:rsidRPr="00EC0A98">
              <w:rPr>
                <w:rFonts w:cs="Times New Roman"/>
                <w:b/>
                <w:sz w:val="18"/>
              </w:rPr>
              <w:t>Gösterge</w:t>
            </w:r>
          </w:p>
        </w:tc>
        <w:tc>
          <w:tcPr>
            <w:tcW w:w="6917" w:type="dxa"/>
            <w:shd w:val="clear" w:color="auto" w:fill="D9EAF7"/>
            <w:vAlign w:val="center"/>
          </w:tcPr>
          <w:p w:rsidR="007A3F65" w:rsidRPr="00EC0A98" w:rsidRDefault="00D6628B">
            <w:pPr>
              <w:spacing w:after="0"/>
              <w:jc w:val="center"/>
              <w:rPr>
                <w:rFonts w:cs="Times New Roman"/>
              </w:rPr>
            </w:pPr>
            <w:r w:rsidRPr="00EC0A98">
              <w:rPr>
                <w:rFonts w:cs="Times New Roman"/>
                <w:b/>
                <w:sz w:val="18"/>
              </w:rPr>
              <w:t xml:space="preserve">2025 bilgisi / </w:t>
            </w:r>
            <w:r w:rsidR="00CD69D5">
              <w:rPr>
                <w:rFonts w:cs="Times New Roman"/>
                <w:b/>
                <w:sz w:val="18"/>
              </w:rPr>
              <w:t>Nihai</w:t>
            </w:r>
            <w:r w:rsidRPr="00EC0A98">
              <w:rPr>
                <w:rFonts w:cs="Times New Roman"/>
                <w:b/>
                <w:sz w:val="18"/>
              </w:rPr>
              <w:t xml:space="preserve"> değerlendirme</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Kuruluş</w:t>
            </w:r>
          </w:p>
        </w:tc>
        <w:tc>
          <w:tcPr>
            <w:tcW w:w="6917" w:type="dxa"/>
            <w:vAlign w:val="center"/>
          </w:tcPr>
          <w:p w:rsidR="007A3F65" w:rsidRPr="00EC0A98" w:rsidRDefault="00D6628B">
            <w:pPr>
              <w:spacing w:after="0"/>
              <w:jc w:val="left"/>
              <w:rPr>
                <w:rFonts w:cs="Times New Roman"/>
              </w:rPr>
            </w:pPr>
            <w:r w:rsidRPr="00EC0A98">
              <w:rPr>
                <w:rFonts w:cs="Times New Roman"/>
                <w:sz w:val="18"/>
              </w:rPr>
              <w:t>10.01.2012 tarihli Bakanlar Kurulu Kararı</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Eğitime başlama</w:t>
            </w:r>
          </w:p>
        </w:tc>
        <w:tc>
          <w:tcPr>
            <w:tcW w:w="6917" w:type="dxa"/>
            <w:vAlign w:val="center"/>
          </w:tcPr>
          <w:p w:rsidR="007A3F65" w:rsidRPr="00EC0A98" w:rsidRDefault="00D6628B">
            <w:pPr>
              <w:spacing w:after="0"/>
              <w:jc w:val="left"/>
              <w:rPr>
                <w:rFonts w:cs="Times New Roman"/>
              </w:rPr>
            </w:pPr>
            <w:r w:rsidRPr="00EC0A98">
              <w:rPr>
                <w:rFonts w:cs="Times New Roman"/>
                <w:sz w:val="18"/>
              </w:rPr>
              <w:t>2013-2014 eğitim-öğretim yılı</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İlk mezuniyet</w:t>
            </w:r>
          </w:p>
        </w:tc>
        <w:tc>
          <w:tcPr>
            <w:tcW w:w="6917" w:type="dxa"/>
            <w:vAlign w:val="center"/>
          </w:tcPr>
          <w:p w:rsidR="007A3F65" w:rsidRPr="00EC0A98" w:rsidRDefault="00D6628B">
            <w:pPr>
              <w:spacing w:after="0"/>
              <w:jc w:val="left"/>
              <w:rPr>
                <w:rFonts w:cs="Times New Roman"/>
              </w:rPr>
            </w:pPr>
            <w:r w:rsidRPr="00EC0A98">
              <w:rPr>
                <w:rFonts w:cs="Times New Roman"/>
                <w:sz w:val="18"/>
              </w:rPr>
              <w:t>2015-2016 eğitim-öğretim yılı</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Bölümler</w:t>
            </w:r>
          </w:p>
        </w:tc>
        <w:tc>
          <w:tcPr>
            <w:tcW w:w="6917" w:type="dxa"/>
            <w:vAlign w:val="center"/>
          </w:tcPr>
          <w:p w:rsidR="007A3F65" w:rsidRPr="00EC0A98" w:rsidRDefault="00D6628B">
            <w:pPr>
              <w:spacing w:after="0"/>
              <w:jc w:val="left"/>
              <w:rPr>
                <w:rFonts w:cs="Times New Roman"/>
              </w:rPr>
            </w:pPr>
            <w:r w:rsidRPr="00EC0A98">
              <w:rPr>
                <w:rFonts w:cs="Times New Roman"/>
                <w:sz w:val="18"/>
              </w:rPr>
              <w:t>Temel İslam Bilimleri; Felsefe ve Din Bilimleri; İslam Tarihi ve Sanatları</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Program</w:t>
            </w:r>
          </w:p>
        </w:tc>
        <w:tc>
          <w:tcPr>
            <w:tcW w:w="6917" w:type="dxa"/>
            <w:vAlign w:val="center"/>
          </w:tcPr>
          <w:p w:rsidR="007A3F65" w:rsidRPr="00EC0A98" w:rsidRDefault="00D6628B">
            <w:pPr>
              <w:spacing w:after="0"/>
              <w:jc w:val="left"/>
              <w:rPr>
                <w:rFonts w:cs="Times New Roman"/>
              </w:rPr>
            </w:pPr>
            <w:r w:rsidRPr="00EC0A98">
              <w:rPr>
                <w:rFonts w:cs="Times New Roman"/>
                <w:sz w:val="18"/>
              </w:rPr>
              <w:t>İlahiyat Programı, I. ve II. öğretim</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Akademik personel</w:t>
            </w:r>
          </w:p>
        </w:tc>
        <w:tc>
          <w:tcPr>
            <w:tcW w:w="6917" w:type="dxa"/>
            <w:vAlign w:val="center"/>
          </w:tcPr>
          <w:p w:rsidR="007A3F65" w:rsidRPr="00EC0A98" w:rsidRDefault="00D6628B">
            <w:pPr>
              <w:spacing w:after="0"/>
              <w:jc w:val="left"/>
              <w:rPr>
                <w:rFonts w:cs="Times New Roman"/>
              </w:rPr>
            </w:pPr>
            <w:r w:rsidRPr="00EC0A98">
              <w:rPr>
                <w:rFonts w:cs="Times New Roman"/>
                <w:sz w:val="18"/>
              </w:rPr>
              <w:t>69 öğretim elemanı: 2 Profesör, 11 Doçent, 20 Dr. Öğr. Üyesi, 8 Öğr. Gör., 28 Arş. Gör.</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İdari personel</w:t>
            </w:r>
          </w:p>
        </w:tc>
        <w:tc>
          <w:tcPr>
            <w:tcW w:w="6917" w:type="dxa"/>
            <w:vAlign w:val="center"/>
          </w:tcPr>
          <w:p w:rsidR="007A3F65" w:rsidRPr="00EC0A98" w:rsidRDefault="00D6628B">
            <w:pPr>
              <w:spacing w:after="0"/>
              <w:jc w:val="left"/>
              <w:rPr>
                <w:rFonts w:cs="Times New Roman"/>
              </w:rPr>
            </w:pPr>
            <w:r w:rsidRPr="00EC0A98">
              <w:rPr>
                <w:rFonts w:cs="Times New Roman"/>
                <w:sz w:val="18"/>
              </w:rPr>
              <w:t>6 idari personel ve 4 sürekli işçi</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Fiziki kaynaklar</w:t>
            </w:r>
          </w:p>
        </w:tc>
        <w:tc>
          <w:tcPr>
            <w:tcW w:w="6917" w:type="dxa"/>
            <w:vAlign w:val="center"/>
          </w:tcPr>
          <w:p w:rsidR="007A3F65" w:rsidRPr="00EC0A98" w:rsidRDefault="00D6628B">
            <w:pPr>
              <w:spacing w:after="0"/>
              <w:jc w:val="left"/>
              <w:rPr>
                <w:rFonts w:cs="Times New Roman"/>
              </w:rPr>
            </w:pPr>
            <w:r w:rsidRPr="00EC0A98">
              <w:rPr>
                <w:rFonts w:cs="Times New Roman"/>
                <w:sz w:val="18"/>
              </w:rPr>
              <w:t>5 amfi, 4 sınıf, 1 bilgisayar laboratuvarı, 1 toplantı salonu, 54 akademik çalışma odası</w:t>
            </w:r>
          </w:p>
        </w:tc>
      </w:tr>
      <w:tr w:rsidR="007A3F65" w:rsidRPr="00EC0A98">
        <w:trPr>
          <w:jc w:val="center"/>
        </w:trPr>
        <w:tc>
          <w:tcPr>
            <w:tcW w:w="2381" w:type="dxa"/>
            <w:vAlign w:val="center"/>
          </w:tcPr>
          <w:p w:rsidR="007A3F65" w:rsidRPr="00EC0A98" w:rsidRDefault="00D6628B">
            <w:pPr>
              <w:spacing w:after="0"/>
              <w:jc w:val="left"/>
              <w:rPr>
                <w:rFonts w:cs="Times New Roman"/>
              </w:rPr>
            </w:pPr>
            <w:r w:rsidRPr="00EC0A98">
              <w:rPr>
                <w:rFonts w:cs="Times New Roman"/>
                <w:sz w:val="18"/>
              </w:rPr>
              <w:t>Bilgi-teknolojik kaynaklar</w:t>
            </w:r>
          </w:p>
        </w:tc>
        <w:tc>
          <w:tcPr>
            <w:tcW w:w="6917" w:type="dxa"/>
            <w:vAlign w:val="center"/>
          </w:tcPr>
          <w:p w:rsidR="007A3F65" w:rsidRPr="00EC0A98" w:rsidRDefault="00D6628B">
            <w:pPr>
              <w:spacing w:after="0"/>
              <w:jc w:val="left"/>
              <w:rPr>
                <w:rFonts w:cs="Times New Roman"/>
              </w:rPr>
            </w:pPr>
            <w:r w:rsidRPr="00EC0A98">
              <w:rPr>
                <w:rFonts w:cs="Times New Roman"/>
                <w:sz w:val="18"/>
              </w:rPr>
              <w:t>75 masaüstü bilgisayar, 26 taşınabilir bilgisayar, 892 kitap, 32 projeksiyon cihazı</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Araştırma çıktıları</w:t>
            </w:r>
          </w:p>
        </w:tc>
        <w:tc>
          <w:tcPr>
            <w:tcW w:w="6917" w:type="dxa"/>
            <w:vAlign w:val="center"/>
          </w:tcPr>
          <w:p w:rsidR="007A3F65" w:rsidRPr="00EC0A98" w:rsidRDefault="00D6628B">
            <w:pPr>
              <w:spacing w:after="0"/>
              <w:jc w:val="left"/>
              <w:rPr>
                <w:rFonts w:cs="Times New Roman"/>
              </w:rPr>
            </w:pPr>
            <w:r w:rsidRPr="00EC0A98">
              <w:rPr>
                <w:rFonts w:cs="Times New Roman"/>
                <w:sz w:val="18"/>
              </w:rPr>
              <w:t>27 uluslararası makale, 6 ulusal makale, 11 uluslararası bildiri, 6 ulusal bildiri, 9 kitap</w:t>
            </w:r>
          </w:p>
        </w:tc>
      </w:tr>
      <w:tr w:rsidR="007A3F65" w:rsidRPr="00EC0A98">
        <w:trPr>
          <w:jc w:val="center"/>
        </w:trPr>
        <w:tc>
          <w:tcPr>
            <w:tcW w:w="2381" w:type="dxa"/>
            <w:vAlign w:val="center"/>
          </w:tcPr>
          <w:p w:rsidR="007A3F65" w:rsidRPr="00EC0A98" w:rsidRDefault="00D6628B">
            <w:pPr>
              <w:spacing w:after="0"/>
              <w:jc w:val="center"/>
              <w:rPr>
                <w:rFonts w:cs="Times New Roman"/>
              </w:rPr>
            </w:pPr>
            <w:r w:rsidRPr="00EC0A98">
              <w:rPr>
                <w:rFonts w:cs="Times New Roman"/>
                <w:sz w:val="18"/>
              </w:rPr>
              <w:t>Proje sayısı</w:t>
            </w:r>
          </w:p>
        </w:tc>
        <w:tc>
          <w:tcPr>
            <w:tcW w:w="6917" w:type="dxa"/>
            <w:vAlign w:val="center"/>
          </w:tcPr>
          <w:p w:rsidR="007A3F65" w:rsidRPr="00EC0A98" w:rsidRDefault="00D6628B">
            <w:pPr>
              <w:spacing w:after="0"/>
              <w:jc w:val="left"/>
              <w:rPr>
                <w:rFonts w:cs="Times New Roman"/>
              </w:rPr>
            </w:pPr>
            <w:r w:rsidRPr="00EC0A98">
              <w:rPr>
                <w:rFonts w:cs="Times New Roman"/>
                <w:sz w:val="18"/>
              </w:rPr>
              <w:t>Toplam 27 proje/faaliyet: Diyanet, YÖK Genç Beyinler, BAP, Ar-Ge, TÜBİTAK 2214-A, DAAD, ÜNİDES</w:t>
            </w:r>
          </w:p>
        </w:tc>
      </w:tr>
    </w:tbl>
    <w:p w:rsidR="007A3F65" w:rsidRPr="00EC0A98" w:rsidRDefault="00D6628B">
      <w:pPr>
        <w:rPr>
          <w:rFonts w:cs="Times New Roman"/>
        </w:rPr>
      </w:pPr>
      <w:r w:rsidRPr="00EC0A98">
        <w:rPr>
          <w:rFonts w:cs="Times New Roman"/>
        </w:rPr>
        <w:t>Fakültenin güncel misyonu; dinin asıl kaynaklarından beslenen, toplumsal sorumluluk bilinci gelişmiş, milli ve manevi değerlere bağlı, ahlaki erdemleri şahsiyetinde birleştirmiş, farklı düşünce geleneklerini kavrayabilen ve bunlara hoşgörüyle yaklaşabilen nitelikli din görevlileri ve eğitimciler yetiştirme amacına dayanmaktadır. Vizyonu ise din, kültür, insan ve toplum ilişkisini çok yönlü biçimde ele alan özgün araştırmalarla ulusal ve uluslararası düzeyde saygın bir akademik merkez olmak; öğrenci odaklı yaklaşımıyla mezunlarına mesleki yeterlilik ve temsil kabiliyeti kazandıran, toplumla bütünleşmiş, kurumsal kimliği güçlü ve evrensel akademik standartları benimseyen öncü bir eğitim ve araştırma kurumu olmaktır.</w:t>
      </w:r>
    </w:p>
    <w:p w:rsidR="007A3F65" w:rsidRPr="00EC0A98" w:rsidRDefault="00D6628B">
      <w:pPr>
        <w:pStyle w:val="Balk1"/>
        <w:rPr>
          <w:rFonts w:ascii="Times New Roman" w:hAnsi="Times New Roman" w:cs="Times New Roman"/>
        </w:rPr>
      </w:pPr>
      <w:r w:rsidRPr="00EC0A98">
        <w:rPr>
          <w:rFonts w:ascii="Times New Roman" w:hAnsi="Times New Roman" w:cs="Times New Roman"/>
        </w:rPr>
        <w:lastRenderedPageBreak/>
        <w:t>3. YÖNTEM VE KANIT YAKLAŞIMI</w:t>
      </w:r>
    </w:p>
    <w:p w:rsidR="007A3F65" w:rsidRPr="00EC0A98" w:rsidRDefault="00D6628B">
      <w:pPr>
        <w:rPr>
          <w:rFonts w:cs="Times New Roman"/>
        </w:rPr>
      </w:pPr>
      <w:r w:rsidRPr="00EC0A98">
        <w:rPr>
          <w:rFonts w:cs="Times New Roman"/>
        </w:rPr>
        <w:t xml:space="preserve">Bu </w:t>
      </w:r>
      <w:r w:rsidR="00CD69D5">
        <w:rPr>
          <w:rFonts w:cs="Times New Roman"/>
        </w:rPr>
        <w:t>Nihai</w:t>
      </w:r>
      <w:r w:rsidRPr="00EC0A98">
        <w:rPr>
          <w:rFonts w:cs="Times New Roman"/>
        </w:rPr>
        <w:t>ta YÖKAK iç değerlendirme mantığına uygun olarak her alt ölçüt için üç unsur birlikte verilmiştir: (i) alt ölçüte ilişkin açıklama, (ii) önerilen olgunluk düzeyi, (iii) kanıtlar. Olgunluk düzeyi belirlenirken yalnızca faaliyetin varlığı değil, faaliyetin planlanması, uygulanması, izlenmesi, iyileştirilmesi ve sürdürülebilirliği dikkate alınmıştır.</w:t>
      </w:r>
    </w:p>
    <w:p w:rsidR="007A3F65" w:rsidRPr="00EC0A98" w:rsidRDefault="00D6628B">
      <w:pPr>
        <w:pStyle w:val="Balk1"/>
        <w:rPr>
          <w:rFonts w:ascii="Times New Roman" w:hAnsi="Times New Roman" w:cs="Times New Roman"/>
        </w:rPr>
      </w:pPr>
      <w:r w:rsidRPr="00EC0A98">
        <w:rPr>
          <w:rFonts w:ascii="Times New Roman" w:hAnsi="Times New Roman" w:cs="Times New Roman"/>
        </w:rPr>
        <w:t>4. OLGUNLUK DÜZEYİ ÖZET TABLOSU</w:t>
      </w:r>
    </w:p>
    <w:tbl>
      <w:tblPr>
        <w:tblStyle w:val="TabloKlavuzu"/>
        <w:tblW w:w="0" w:type="auto"/>
        <w:jc w:val="center"/>
        <w:tblLook w:val="04A0" w:firstRow="1" w:lastRow="0" w:firstColumn="1" w:lastColumn="0" w:noHBand="0" w:noVBand="1"/>
      </w:tblPr>
      <w:tblGrid>
        <w:gridCol w:w="1247"/>
        <w:gridCol w:w="3118"/>
        <w:gridCol w:w="1134"/>
        <w:gridCol w:w="3969"/>
      </w:tblGrid>
      <w:tr w:rsidR="007A3F65" w:rsidRPr="00EC0A98">
        <w:trPr>
          <w:jc w:val="center"/>
        </w:trPr>
        <w:tc>
          <w:tcPr>
            <w:tcW w:w="1247"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Kod</w:t>
            </w:r>
          </w:p>
        </w:tc>
        <w:tc>
          <w:tcPr>
            <w:tcW w:w="3118"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Alt alan</w:t>
            </w:r>
          </w:p>
        </w:tc>
        <w:tc>
          <w:tcPr>
            <w:tcW w:w="1134" w:type="dxa"/>
            <w:shd w:val="clear" w:color="auto" w:fill="D9EAF7"/>
            <w:vAlign w:val="center"/>
          </w:tcPr>
          <w:p w:rsidR="007A3F65" w:rsidRPr="00EC0A98" w:rsidRDefault="00CD69D5">
            <w:pPr>
              <w:spacing w:after="0"/>
              <w:jc w:val="center"/>
              <w:rPr>
                <w:rFonts w:cs="Times New Roman"/>
              </w:rPr>
            </w:pPr>
            <w:r>
              <w:rPr>
                <w:rFonts w:cs="Times New Roman"/>
                <w:b/>
                <w:sz w:val="17"/>
              </w:rPr>
              <w:t>Nihai</w:t>
            </w:r>
            <w:r w:rsidR="00D6628B" w:rsidRPr="00EC0A98">
              <w:rPr>
                <w:rFonts w:cs="Times New Roman"/>
                <w:b/>
                <w:sz w:val="17"/>
              </w:rPr>
              <w:t xml:space="preserve"> OD</w:t>
            </w:r>
          </w:p>
        </w:tc>
        <w:tc>
          <w:tcPr>
            <w:tcW w:w="3969"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Kısa gerekçe</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A.1.1</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Yönetişim modeli ve idari yapı</w:t>
            </w:r>
          </w:p>
        </w:tc>
        <w:tc>
          <w:tcPr>
            <w:tcW w:w="1134" w:type="dxa"/>
            <w:vAlign w:val="center"/>
          </w:tcPr>
          <w:p w:rsidR="007A3F65" w:rsidRPr="00EC0A98" w:rsidRDefault="00D6628B">
            <w:pPr>
              <w:spacing w:after="0"/>
              <w:jc w:val="center"/>
              <w:rPr>
                <w:rFonts w:cs="Times New Roman"/>
              </w:rPr>
            </w:pPr>
            <w:r w:rsidRPr="00EC0A98">
              <w:rPr>
                <w:rFonts w:cs="Times New Roman"/>
                <w:sz w:val="17"/>
              </w:rPr>
              <w:t>3</w:t>
            </w:r>
          </w:p>
        </w:tc>
        <w:tc>
          <w:tcPr>
            <w:tcW w:w="3969" w:type="dxa"/>
            <w:vAlign w:val="center"/>
          </w:tcPr>
          <w:p w:rsidR="007A3F65" w:rsidRPr="00EC0A98" w:rsidRDefault="00D6628B">
            <w:pPr>
              <w:spacing w:after="0"/>
              <w:jc w:val="left"/>
              <w:rPr>
                <w:rFonts w:cs="Times New Roman"/>
              </w:rPr>
            </w:pPr>
            <w:r w:rsidRPr="00EC0A98">
              <w:rPr>
                <w:rFonts w:cs="Times New Roman"/>
                <w:sz w:val="17"/>
              </w:rPr>
              <w:t>Yapı ve kurullar tanımlı; izleme kanıtlarıyla OD4 mümkün.</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A.1.2</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Liderlik</w:t>
            </w:r>
          </w:p>
        </w:tc>
        <w:tc>
          <w:tcPr>
            <w:tcW w:w="1134" w:type="dxa"/>
            <w:vAlign w:val="center"/>
          </w:tcPr>
          <w:p w:rsidR="007A3F65" w:rsidRPr="00EC0A98" w:rsidRDefault="00D6628B">
            <w:pPr>
              <w:spacing w:after="0"/>
              <w:jc w:val="center"/>
              <w:rPr>
                <w:rFonts w:cs="Times New Roman"/>
              </w:rPr>
            </w:pPr>
            <w:r w:rsidRPr="00EC0A98">
              <w:rPr>
                <w:rFonts w:cs="Times New Roman"/>
                <w:sz w:val="17"/>
              </w:rPr>
              <w:t>3</w:t>
            </w:r>
          </w:p>
        </w:tc>
        <w:tc>
          <w:tcPr>
            <w:tcW w:w="3969" w:type="dxa"/>
            <w:vAlign w:val="center"/>
          </w:tcPr>
          <w:p w:rsidR="007A3F65" w:rsidRPr="00EC0A98" w:rsidRDefault="00D6628B">
            <w:pPr>
              <w:spacing w:after="0"/>
              <w:jc w:val="left"/>
              <w:rPr>
                <w:rFonts w:cs="Times New Roman"/>
              </w:rPr>
            </w:pPr>
            <w:r w:rsidRPr="00EC0A98">
              <w:rPr>
                <w:rFonts w:cs="Times New Roman"/>
                <w:sz w:val="17"/>
              </w:rPr>
              <w:t>Kalite komitesi ve komisyon toplantıları mevcut; liderlik çıktıları izlenmeli.</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A.1.3</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Kurumsal dönüşüm kapasitesi</w:t>
            </w:r>
          </w:p>
        </w:tc>
        <w:tc>
          <w:tcPr>
            <w:tcW w:w="1134" w:type="dxa"/>
            <w:vAlign w:val="center"/>
          </w:tcPr>
          <w:p w:rsidR="007A3F65" w:rsidRPr="00EC0A98" w:rsidRDefault="00D6628B">
            <w:pPr>
              <w:spacing w:after="0"/>
              <w:jc w:val="center"/>
              <w:rPr>
                <w:rFonts w:cs="Times New Roman"/>
              </w:rPr>
            </w:pPr>
            <w:r w:rsidRPr="00EC0A98">
              <w:rPr>
                <w:rFonts w:cs="Times New Roman"/>
                <w:sz w:val="17"/>
              </w:rPr>
              <w:t>3</w:t>
            </w:r>
          </w:p>
        </w:tc>
        <w:tc>
          <w:tcPr>
            <w:tcW w:w="3969" w:type="dxa"/>
            <w:vAlign w:val="center"/>
          </w:tcPr>
          <w:p w:rsidR="007A3F65" w:rsidRPr="00EC0A98" w:rsidRDefault="00D6628B">
            <w:pPr>
              <w:spacing w:after="0"/>
              <w:jc w:val="left"/>
              <w:rPr>
                <w:rFonts w:cs="Times New Roman"/>
              </w:rPr>
            </w:pPr>
            <w:r w:rsidRPr="00EC0A98">
              <w:rPr>
                <w:rFonts w:cs="Times New Roman"/>
                <w:sz w:val="17"/>
              </w:rPr>
              <w:t>PUKÖ ve komisyon sistemi kurulmuş; sonuç odaklı izleme güçlendirilmeli.</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A.1.4</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İç kalite güvencesi mekanizmaları</w:t>
            </w:r>
          </w:p>
        </w:tc>
        <w:tc>
          <w:tcPr>
            <w:tcW w:w="1134" w:type="dxa"/>
            <w:vAlign w:val="center"/>
          </w:tcPr>
          <w:p w:rsidR="007A3F65" w:rsidRPr="00EC0A98" w:rsidRDefault="00D6628B">
            <w:pPr>
              <w:spacing w:after="0"/>
              <w:jc w:val="center"/>
              <w:rPr>
                <w:rFonts w:cs="Times New Roman"/>
              </w:rPr>
            </w:pPr>
            <w:r w:rsidRPr="00EC0A98">
              <w:rPr>
                <w:rFonts w:cs="Times New Roman"/>
                <w:sz w:val="17"/>
              </w:rPr>
              <w:t>3</w:t>
            </w:r>
          </w:p>
        </w:tc>
        <w:tc>
          <w:tcPr>
            <w:tcW w:w="3969" w:type="dxa"/>
            <w:vAlign w:val="center"/>
          </w:tcPr>
          <w:p w:rsidR="007A3F65" w:rsidRPr="00EC0A98" w:rsidRDefault="00D6628B">
            <w:pPr>
              <w:spacing w:after="0"/>
              <w:jc w:val="left"/>
              <w:rPr>
                <w:rFonts w:cs="Times New Roman"/>
              </w:rPr>
            </w:pPr>
            <w:r w:rsidRPr="00EC0A98">
              <w:rPr>
                <w:rFonts w:cs="Times New Roman"/>
                <w:sz w:val="17"/>
              </w:rPr>
              <w:t>PUKÖ tablosu var; iyileştirme sonuç raporu eklenirse OD4.</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A.1.5</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Kamuoyunu bilgilendirme ve hesap verebilirlik</w:t>
            </w:r>
          </w:p>
        </w:tc>
        <w:tc>
          <w:tcPr>
            <w:tcW w:w="1134" w:type="dxa"/>
            <w:vAlign w:val="center"/>
          </w:tcPr>
          <w:p w:rsidR="007A3F65" w:rsidRPr="00EC0A98" w:rsidRDefault="00D6628B">
            <w:pPr>
              <w:spacing w:after="0"/>
              <w:jc w:val="center"/>
              <w:rPr>
                <w:rFonts w:cs="Times New Roman"/>
              </w:rPr>
            </w:pPr>
            <w:r w:rsidRPr="00EC0A98">
              <w:rPr>
                <w:rFonts w:cs="Times New Roman"/>
                <w:sz w:val="17"/>
              </w:rPr>
              <w:t>4</w:t>
            </w:r>
          </w:p>
        </w:tc>
        <w:tc>
          <w:tcPr>
            <w:tcW w:w="3969" w:type="dxa"/>
            <w:vAlign w:val="center"/>
          </w:tcPr>
          <w:p w:rsidR="007A3F65" w:rsidRPr="00EC0A98" w:rsidRDefault="00D6628B">
            <w:pPr>
              <w:spacing w:after="0"/>
              <w:jc w:val="left"/>
              <w:rPr>
                <w:rFonts w:cs="Times New Roman"/>
              </w:rPr>
            </w:pPr>
            <w:r w:rsidRPr="00EC0A98">
              <w:rPr>
                <w:rFonts w:cs="Times New Roman"/>
                <w:sz w:val="17"/>
              </w:rPr>
              <w:t>Web sayfasında kalite, kurul, faaliyet ve komisyon içerikleri görünür.</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A.2.1</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Misyon, vizyon ve politikalar</w:t>
            </w:r>
          </w:p>
        </w:tc>
        <w:tc>
          <w:tcPr>
            <w:tcW w:w="1134" w:type="dxa"/>
            <w:vAlign w:val="center"/>
          </w:tcPr>
          <w:p w:rsidR="007A3F65" w:rsidRPr="00EC0A98" w:rsidRDefault="00D6628B">
            <w:pPr>
              <w:spacing w:after="0"/>
              <w:jc w:val="center"/>
              <w:rPr>
                <w:rFonts w:cs="Times New Roman"/>
              </w:rPr>
            </w:pPr>
            <w:r w:rsidRPr="00EC0A98">
              <w:rPr>
                <w:rFonts w:cs="Times New Roman"/>
                <w:sz w:val="17"/>
              </w:rPr>
              <w:t>3</w:t>
            </w:r>
          </w:p>
        </w:tc>
        <w:tc>
          <w:tcPr>
            <w:tcW w:w="3969" w:type="dxa"/>
            <w:vAlign w:val="center"/>
          </w:tcPr>
          <w:p w:rsidR="007A3F65" w:rsidRPr="00EC0A98" w:rsidRDefault="00D6628B">
            <w:pPr>
              <w:spacing w:after="0"/>
              <w:jc w:val="left"/>
              <w:rPr>
                <w:rFonts w:cs="Times New Roman"/>
              </w:rPr>
            </w:pPr>
            <w:r w:rsidRPr="00EC0A98">
              <w:rPr>
                <w:rFonts w:cs="Times New Roman"/>
                <w:sz w:val="17"/>
              </w:rPr>
              <w:t>Misyon-vizyon yayımlı; göstergelerle düzenli izlem</w:t>
            </w:r>
            <w:bookmarkStart w:id="0" w:name="_GoBack"/>
            <w:bookmarkEnd w:id="0"/>
            <w:r w:rsidRPr="00EC0A98">
              <w:rPr>
                <w:rFonts w:cs="Times New Roman"/>
                <w:sz w:val="17"/>
              </w:rPr>
              <w:t>e güçlendirilmeli.</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A.2.3</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Performans yönetimi</w:t>
            </w:r>
          </w:p>
        </w:tc>
        <w:tc>
          <w:tcPr>
            <w:tcW w:w="1134" w:type="dxa"/>
            <w:vAlign w:val="center"/>
          </w:tcPr>
          <w:p w:rsidR="007A3F65" w:rsidRPr="00EC0A98" w:rsidRDefault="00D6628B">
            <w:pPr>
              <w:spacing w:after="0"/>
              <w:jc w:val="center"/>
              <w:rPr>
                <w:rFonts w:cs="Times New Roman"/>
              </w:rPr>
            </w:pPr>
            <w:r w:rsidRPr="00EC0A98">
              <w:rPr>
                <w:rFonts w:cs="Times New Roman"/>
                <w:sz w:val="17"/>
              </w:rPr>
              <w:t>3</w:t>
            </w:r>
          </w:p>
        </w:tc>
        <w:tc>
          <w:tcPr>
            <w:tcW w:w="3969" w:type="dxa"/>
            <w:vAlign w:val="center"/>
          </w:tcPr>
          <w:p w:rsidR="007A3F65" w:rsidRPr="00EC0A98" w:rsidRDefault="00D6628B">
            <w:pPr>
              <w:spacing w:after="0"/>
              <w:jc w:val="left"/>
              <w:rPr>
                <w:rFonts w:cs="Times New Roman"/>
              </w:rPr>
            </w:pPr>
            <w:r w:rsidRPr="00EC0A98">
              <w:rPr>
                <w:rFonts w:cs="Times New Roman"/>
                <w:sz w:val="17"/>
              </w:rPr>
              <w:t>Akademik birim raporu ve faaliyet göstergeleri mevcut.</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B.1-B.4</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Eğitim ve öğretim</w:t>
            </w:r>
          </w:p>
        </w:tc>
        <w:tc>
          <w:tcPr>
            <w:tcW w:w="1134" w:type="dxa"/>
            <w:vAlign w:val="center"/>
          </w:tcPr>
          <w:p w:rsidR="007A3F65" w:rsidRPr="00EC0A98" w:rsidRDefault="00D6628B">
            <w:pPr>
              <w:spacing w:after="0"/>
              <w:jc w:val="center"/>
              <w:rPr>
                <w:rFonts w:cs="Times New Roman"/>
              </w:rPr>
            </w:pPr>
            <w:r w:rsidRPr="00EC0A98">
              <w:rPr>
                <w:rFonts w:cs="Times New Roman"/>
                <w:sz w:val="17"/>
              </w:rPr>
              <w:t>3</w:t>
            </w:r>
          </w:p>
        </w:tc>
        <w:tc>
          <w:tcPr>
            <w:tcW w:w="3969" w:type="dxa"/>
            <w:vAlign w:val="center"/>
          </w:tcPr>
          <w:p w:rsidR="007A3F65" w:rsidRPr="00EC0A98" w:rsidRDefault="00D6628B">
            <w:pPr>
              <w:spacing w:after="0"/>
              <w:jc w:val="left"/>
              <w:rPr>
                <w:rFonts w:cs="Times New Roman"/>
              </w:rPr>
            </w:pPr>
            <w:r w:rsidRPr="00EC0A98">
              <w:rPr>
                <w:rFonts w:cs="Times New Roman"/>
                <w:sz w:val="17"/>
              </w:rPr>
              <w:t>Program, ders içerikleri, danışmanlık ve mevzuat var; öğrenme çıktısı izleme kanıtları eklenmeli.</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C.1-C.3</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Araştırma ve geliştirme</w:t>
            </w:r>
          </w:p>
        </w:tc>
        <w:tc>
          <w:tcPr>
            <w:tcW w:w="1134" w:type="dxa"/>
            <w:vAlign w:val="center"/>
          </w:tcPr>
          <w:p w:rsidR="007A3F65" w:rsidRPr="00EC0A98" w:rsidRDefault="00D6628B">
            <w:pPr>
              <w:spacing w:after="0"/>
              <w:jc w:val="center"/>
              <w:rPr>
                <w:rFonts w:cs="Times New Roman"/>
              </w:rPr>
            </w:pPr>
            <w:r w:rsidRPr="00EC0A98">
              <w:rPr>
                <w:rFonts w:cs="Times New Roman"/>
                <w:sz w:val="17"/>
              </w:rPr>
              <w:t>3</w:t>
            </w:r>
          </w:p>
        </w:tc>
        <w:tc>
          <w:tcPr>
            <w:tcW w:w="3969" w:type="dxa"/>
            <w:vAlign w:val="center"/>
          </w:tcPr>
          <w:p w:rsidR="007A3F65" w:rsidRPr="00EC0A98" w:rsidRDefault="00D6628B">
            <w:pPr>
              <w:spacing w:after="0"/>
              <w:jc w:val="left"/>
              <w:rPr>
                <w:rFonts w:cs="Times New Roman"/>
              </w:rPr>
            </w:pPr>
            <w:r w:rsidRPr="00EC0A98">
              <w:rPr>
                <w:rFonts w:cs="Times New Roman"/>
                <w:sz w:val="17"/>
              </w:rPr>
              <w:t>Yayın ve proje verileri güçlü; hedefe dayalı performans izleme geliştirilmeli.</w:t>
            </w:r>
          </w:p>
        </w:tc>
      </w:tr>
      <w:tr w:rsidR="007A3F65" w:rsidRPr="00EC0A98">
        <w:trPr>
          <w:jc w:val="center"/>
        </w:trPr>
        <w:tc>
          <w:tcPr>
            <w:tcW w:w="1247" w:type="dxa"/>
            <w:vAlign w:val="center"/>
          </w:tcPr>
          <w:p w:rsidR="007A3F65" w:rsidRPr="00EC0A98" w:rsidRDefault="00D6628B">
            <w:pPr>
              <w:spacing w:after="0"/>
              <w:jc w:val="center"/>
              <w:rPr>
                <w:rFonts w:cs="Times New Roman"/>
              </w:rPr>
            </w:pPr>
            <w:r w:rsidRPr="00EC0A98">
              <w:rPr>
                <w:rFonts w:cs="Times New Roman"/>
                <w:sz w:val="17"/>
              </w:rPr>
              <w:t>D.1-D.2</w:t>
            </w:r>
          </w:p>
        </w:tc>
        <w:tc>
          <w:tcPr>
            <w:tcW w:w="3118" w:type="dxa"/>
            <w:vAlign w:val="center"/>
          </w:tcPr>
          <w:p w:rsidR="007A3F65" w:rsidRPr="00EC0A98" w:rsidRDefault="00D6628B" w:rsidP="00CD69D5">
            <w:pPr>
              <w:spacing w:after="0"/>
              <w:jc w:val="center"/>
              <w:rPr>
                <w:rFonts w:cs="Times New Roman"/>
              </w:rPr>
            </w:pPr>
            <w:r w:rsidRPr="00EC0A98">
              <w:rPr>
                <w:rFonts w:cs="Times New Roman"/>
                <w:sz w:val="17"/>
              </w:rPr>
              <w:t>Toplumsal katkı</w:t>
            </w:r>
          </w:p>
        </w:tc>
        <w:tc>
          <w:tcPr>
            <w:tcW w:w="1134" w:type="dxa"/>
            <w:vAlign w:val="center"/>
          </w:tcPr>
          <w:p w:rsidR="007A3F65" w:rsidRPr="00EC0A98" w:rsidRDefault="00D6628B">
            <w:pPr>
              <w:spacing w:after="0"/>
              <w:jc w:val="center"/>
              <w:rPr>
                <w:rFonts w:cs="Times New Roman"/>
              </w:rPr>
            </w:pPr>
            <w:r w:rsidRPr="00EC0A98">
              <w:rPr>
                <w:rFonts w:cs="Times New Roman"/>
                <w:sz w:val="17"/>
              </w:rPr>
              <w:t>3</w:t>
            </w:r>
          </w:p>
        </w:tc>
        <w:tc>
          <w:tcPr>
            <w:tcW w:w="3969" w:type="dxa"/>
            <w:vAlign w:val="center"/>
          </w:tcPr>
          <w:p w:rsidR="007A3F65" w:rsidRPr="00EC0A98" w:rsidRDefault="00D6628B">
            <w:pPr>
              <w:spacing w:after="0"/>
              <w:jc w:val="left"/>
              <w:rPr>
                <w:rFonts w:cs="Times New Roman"/>
              </w:rPr>
            </w:pPr>
            <w:r w:rsidRPr="00EC0A98">
              <w:rPr>
                <w:rFonts w:cs="Times New Roman"/>
                <w:sz w:val="17"/>
              </w:rPr>
              <w:t>Diyanet ve toplumsal faaliyetler görünür; etki analizi eklenmeli.</w:t>
            </w:r>
          </w:p>
        </w:tc>
      </w:tr>
    </w:tbl>
    <w:p w:rsidR="007A3F65" w:rsidRPr="00EC0A98" w:rsidRDefault="00D6628B">
      <w:pPr>
        <w:pStyle w:val="Balk1"/>
        <w:rPr>
          <w:rFonts w:ascii="Times New Roman" w:hAnsi="Times New Roman" w:cs="Times New Roman"/>
        </w:rPr>
      </w:pPr>
      <w:r w:rsidRPr="00EC0A98">
        <w:rPr>
          <w:rFonts w:ascii="Times New Roman" w:hAnsi="Times New Roman" w:cs="Times New Roman"/>
        </w:rPr>
        <w:t>A. LİDERLİK, YÖNETİŞİM VE KALİTE</w:t>
      </w:r>
    </w:p>
    <w:p w:rsidR="007A3F65" w:rsidRPr="00EC0A98" w:rsidRDefault="00D6628B">
      <w:pPr>
        <w:pStyle w:val="Balk2"/>
        <w:rPr>
          <w:rFonts w:ascii="Times New Roman" w:hAnsi="Times New Roman" w:cs="Times New Roman"/>
        </w:rPr>
      </w:pPr>
      <w:r w:rsidRPr="00EC0A98">
        <w:rPr>
          <w:rFonts w:ascii="Times New Roman" w:hAnsi="Times New Roman" w:cs="Times New Roman"/>
        </w:rPr>
        <w:t>A.1.1. Yönetişim modeli ve idari yapı</w:t>
      </w:r>
    </w:p>
    <w:p w:rsidR="007A3F65" w:rsidRPr="00EC0A98" w:rsidRDefault="00D6628B">
      <w:pPr>
        <w:rPr>
          <w:rFonts w:cs="Times New Roman"/>
        </w:rPr>
      </w:pPr>
      <w:r w:rsidRPr="00EC0A98">
        <w:rPr>
          <w:rFonts w:cs="Times New Roman"/>
        </w:rPr>
        <w:t>Fakültenin yönetişim modeli; dekan, dekan yardımcıları, fakülte sekreteri, fakülte kurulu, fakülte yönetim kurulu, bölüm başkanlıkları ve komisyonlar üzerinden yürütülmektedir. 2025 Akademik Birim Raporunda fakülte yönetim yapısı, fakülte kurulu ve fakülte yönetim kurulunun 2547 sayılı Kanun çerçevesindeki görevleriyle birlikte açıklanmıştır. Fakülte web sayfasında organizasyon, kurullar, komisyonlar, bölüm yapılanması ve kalite başlıkları ayrı menüler halinde sunulmaktadır.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Yönetişim yapısı ve idari sorumluluklar tanımlıdır. Kurul/komisyon tutanakları, görev dağılımı ve kararların izleme sonuçları nihai rapora eklenirse OD4 düzeyi savunulabilir.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Yılı Akademik Birim Raporu: yönetim yapısı, fakülte kurulu ve fakülte yönetim kurulu bilgileri.</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Fakülte web sayfası: Yönetim, kurullar ve komisyonlar, organizasyon şeması.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Birim Kalite Komitesi sayfası ve komisyon listeleri.</w:t>
      </w:r>
    </w:p>
    <w:p w:rsidR="007A3F65" w:rsidRPr="00EC0A98" w:rsidRDefault="00D6628B">
      <w:pPr>
        <w:pStyle w:val="Balk2"/>
        <w:rPr>
          <w:rFonts w:ascii="Times New Roman" w:hAnsi="Times New Roman" w:cs="Times New Roman"/>
        </w:rPr>
      </w:pPr>
      <w:r w:rsidRPr="00EC0A98">
        <w:rPr>
          <w:rFonts w:ascii="Times New Roman" w:hAnsi="Times New Roman" w:cs="Times New Roman"/>
        </w:rPr>
        <w:lastRenderedPageBreak/>
        <w:t>A.1.2. Liderlik</w:t>
      </w:r>
    </w:p>
    <w:p w:rsidR="007A3F65" w:rsidRPr="00EC0A98" w:rsidRDefault="00D6628B">
      <w:pPr>
        <w:rPr>
          <w:rFonts w:cs="Times New Roman"/>
        </w:rPr>
      </w:pPr>
      <w:r w:rsidRPr="00EC0A98">
        <w:rPr>
          <w:rFonts w:cs="Times New Roman"/>
        </w:rPr>
        <w:t>Fakülte yönetimi kalite çalışmalarını dekanlık liderliğinde ve Birim Kalite Komitesi üzerinden koordine etmektedir. Birim Kalite Komitesi başkanlığının Dekan tarafından yürütülmesi, kalite çalışmalarının üst yönetim sahipliğiyle ilişkilendirildiğini göstermektedir. Komisyon ve kurul faaliyetleri sayfasında eğitim-öğretim, araştırma-geliştirme, toplumsal katkı ve kalite komisyonlarına ilişkin toplantı ve rapor kayıtları yayımlanmaktadır.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Liderlik sahipliği ve komisyon temelli kalite koordinasyonu görülmektedir. Liderlik faaliyetlerinin memnuniyet, performans ve iyileştirme sonuçlarına etkisi düzenli raporlanırsa OD4 düzeyi güçlenir.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Birim Kalite Komitesi: Prof. Dr. Halil Aldemir başkan, Doç. Dr. Mehmet Karakuş başkan vekili.</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Komisyon ve Kurul Faaliyetleri sayfası: 2025-2026 komisyon toplantıları ve raporları.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PUKÖ Döngüsü Süreç İzleme Tablosu.</w:t>
      </w:r>
    </w:p>
    <w:p w:rsidR="007A3F65" w:rsidRPr="00EC0A98" w:rsidRDefault="00D6628B">
      <w:pPr>
        <w:pStyle w:val="Balk2"/>
        <w:rPr>
          <w:rFonts w:ascii="Times New Roman" w:hAnsi="Times New Roman" w:cs="Times New Roman"/>
        </w:rPr>
      </w:pPr>
      <w:r w:rsidRPr="00EC0A98">
        <w:rPr>
          <w:rFonts w:ascii="Times New Roman" w:hAnsi="Times New Roman" w:cs="Times New Roman"/>
        </w:rPr>
        <w:t>A.1.3. Kurumsal dönüşüm kapasitesi</w:t>
      </w:r>
    </w:p>
    <w:p w:rsidR="007A3F65" w:rsidRPr="00EC0A98" w:rsidRDefault="00D6628B">
      <w:pPr>
        <w:rPr>
          <w:rFonts w:cs="Times New Roman"/>
        </w:rPr>
      </w:pPr>
      <w:r w:rsidRPr="00EC0A98">
        <w:rPr>
          <w:rFonts w:cs="Times New Roman"/>
        </w:rPr>
        <w:t>Fakülte, kalite yapılanmasını yalnızca rapor hazırlama faaliyeti olarak değil, komisyonlar, PUKÖ döngüsü, danışma kurulları, uluslararası danışma kurulu, mezun ve toplumsal katkı faaliyetleriyle genişleyen bir kurumsal dönüşüm aracı olarak yapılandırmaktadır. Özellikle web sayfasında kalite, Ar-Ge, uluslararasılaşma, mezun ve toplumsal katkı başlıklarının ayrıştırılmış olması kurumsal kapasitenin dijital görünürlüğünü artırmaktadır.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Dönüşüm kapasitesine ilişkin planlama ve uygulama bileşenleri vardır. Ancak değişim hedeflerinin göstergelere bağlanması, yıl sonu gerçekleşme verileri ve iyileştirme çıktılarıyla desteklenmesi gerekir.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PUKÖ Döngüsü Süreç İzleme Tablosu.</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Komisyon ve Kurul Faaliyetleri sayfası.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Uluslararası Danışma Kurulu sayfası.</w:t>
      </w:r>
    </w:p>
    <w:p w:rsidR="007A3F65" w:rsidRPr="00EC0A98" w:rsidRDefault="00D6628B">
      <w:pPr>
        <w:pStyle w:val="Evidence"/>
        <w:rPr>
          <w:rFonts w:cs="Times New Roman"/>
        </w:rPr>
      </w:pPr>
      <w:r w:rsidRPr="00EC0A98">
        <w:rPr>
          <w:rFonts w:cs="Times New Roman"/>
          <w:b/>
        </w:rPr>
        <w:t xml:space="preserve">Kanıt 4: </w:t>
      </w:r>
      <w:r w:rsidRPr="00EC0A98">
        <w:rPr>
          <w:rFonts w:cs="Times New Roman"/>
        </w:rPr>
        <w:t>2025 Akademik Birim Raporu: araştırma, proje ve faaliyet verileri.</w:t>
      </w:r>
    </w:p>
    <w:p w:rsidR="007A3F65" w:rsidRPr="00EC0A98" w:rsidRDefault="00D6628B">
      <w:pPr>
        <w:pStyle w:val="Balk2"/>
        <w:rPr>
          <w:rFonts w:ascii="Times New Roman" w:hAnsi="Times New Roman" w:cs="Times New Roman"/>
        </w:rPr>
      </w:pPr>
      <w:r w:rsidRPr="00EC0A98">
        <w:rPr>
          <w:rFonts w:ascii="Times New Roman" w:hAnsi="Times New Roman" w:cs="Times New Roman"/>
        </w:rPr>
        <w:t>A.1.4. İç kalite güvencesi mekanizmaları</w:t>
      </w:r>
    </w:p>
    <w:p w:rsidR="007A3F65" w:rsidRPr="00EC0A98" w:rsidRDefault="00D6628B">
      <w:pPr>
        <w:rPr>
          <w:rFonts w:cs="Times New Roman"/>
        </w:rPr>
      </w:pPr>
      <w:r w:rsidRPr="00EC0A98">
        <w:rPr>
          <w:rFonts w:cs="Times New Roman"/>
        </w:rPr>
        <w:t>Fakültenin iç kalite güvencesi mekanizması, Birim Kalite Komitesi, Birim Akreditasyon Kurulu, bölüm akreditasyon koordinatörleri ve A-B-C-D başlıklarıyla ilişkili alt komisyonlar üzerinden kurulmaktadır. PUKÖ Döngüsü Süreç İzleme Tablosunda stratejik amaç/hedefler, performans yönetimi, süreç yönetimi, paydaş katılımı ve iyileştirme eylem planı mantığına ilişkin izleme adımları yer almaktadır.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lastRenderedPageBreak/>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PUKÖ ve komisyon yapılanması mevcuttur. Kontrol, önlem alma ve iyileştirme sonuçlarının yıllık kanıt setiyle kapatılması durumunda OD4 düzeyi desteklenir.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Birim Kalite Komitesi sayfası.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PUKÖ Döngüsü Süreç İzleme Tablosu.</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Komisyon ve Kurul Faaliyetleri sayfası.</w:t>
      </w:r>
    </w:p>
    <w:p w:rsidR="007A3F65" w:rsidRPr="00EC0A98" w:rsidRDefault="00D6628B">
      <w:pPr>
        <w:pStyle w:val="Evidence"/>
        <w:rPr>
          <w:rFonts w:cs="Times New Roman"/>
        </w:rPr>
      </w:pPr>
      <w:r w:rsidRPr="00EC0A98">
        <w:rPr>
          <w:rFonts w:cs="Times New Roman"/>
          <w:b/>
        </w:rPr>
        <w:t xml:space="preserve">Kanıt 4: </w:t>
      </w:r>
      <w:r w:rsidRPr="00EC0A98">
        <w:rPr>
          <w:rFonts w:cs="Times New Roman"/>
        </w:rPr>
        <w:t>Kalite Formları ve İç Kontrol sayfaları.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A.1.5. Kamuoyunu bilgilendirme ve hesap verebilirlik</w:t>
      </w:r>
    </w:p>
    <w:p w:rsidR="007A3F65" w:rsidRPr="00EC0A98" w:rsidRDefault="00D6628B">
      <w:pPr>
        <w:rPr>
          <w:rFonts w:cs="Times New Roman"/>
        </w:rPr>
      </w:pPr>
      <w:r w:rsidRPr="00EC0A98">
        <w:rPr>
          <w:rFonts w:cs="Times New Roman"/>
        </w:rPr>
        <w:t>Fakülte web sayfasında yönetim, akademik/idari personel, bölümler, öğrenci mevzuatı, ders içerikleri, değişim programları, topluluklar, kalite, mezun ve dergi başlıkları kamuoyuna açık biçimde sunulmaktadır. Ayrıca komisyon ve kurul faaliyetlerine ilişkin haber/raporların yayımlanması, kamuoyunu bilgilendirme ve hesap verebilirlik bakımından güçlü bir görünürlük sağlamaktadır.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Kamuoyunu bilgilendirme mekanizması yalnızca plan düzeyinde kalmayıp web üzerinden uygulanmakta ve güncellenmektedir. Düzenli veri doğrulama takvimi ve web güncelleme sorumlulukları eklenirse OD4 daha güçlü savunulur.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Fakülte ana sayfası ve kalite menüsü.</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Komisyon ve Kurul Faaliyetleri sayfası.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2025 Akademik Birim Raporu.</w:t>
      </w:r>
    </w:p>
    <w:p w:rsidR="007A3F65" w:rsidRPr="00EC0A98" w:rsidRDefault="00D6628B">
      <w:pPr>
        <w:pStyle w:val="Evidence"/>
        <w:rPr>
          <w:rFonts w:cs="Times New Roman"/>
        </w:rPr>
      </w:pPr>
      <w:r w:rsidRPr="00EC0A98">
        <w:rPr>
          <w:rFonts w:cs="Times New Roman"/>
          <w:b/>
        </w:rPr>
        <w:t xml:space="preserve">Kanıt 4: </w:t>
      </w:r>
      <w:r w:rsidRPr="00EC0A98">
        <w:rPr>
          <w:rFonts w:cs="Times New Roman"/>
        </w:rPr>
        <w:t>Misyon ve Vizyon sayfaları.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A.2.1. Misyon, vizyon ve politikalar</w:t>
      </w:r>
    </w:p>
    <w:p w:rsidR="007A3F65" w:rsidRPr="00EC0A98" w:rsidRDefault="00D6628B">
      <w:pPr>
        <w:rPr>
          <w:rFonts w:cs="Times New Roman"/>
        </w:rPr>
      </w:pPr>
      <w:r w:rsidRPr="00EC0A98">
        <w:rPr>
          <w:rFonts w:cs="Times New Roman"/>
        </w:rPr>
        <w:t>Fakültenin misyonu, dinin asıl kaynaklarından beslenen, toplumsal sorumluluk bilinci gelişmiş, milli ve manevi değerlere bağlı, hoşgörülü, bilimsel düşünmeyi öğrenmiş nitelikli din görevlileri ve eğitimciler yetiştirmeye yöneliktir. Vizyonu ise din, kültür, insan ve toplum ilişkisini çok yönlü ele alan özgün araştırmalarla ulusal ve uluslararası düzeyde saygın bir akademik merkez olmayı hedeflemektedir. Bu yönelim, fakültenin eğitim-öğretim, araştırma ve toplumsal katkı süreçleriyle uyumludur.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Misyon ve vizyon tanımlanmış ve yayımlanmıştır. Bu ifadelerin program çıktıları, stratejik hedefler ve performans göstergeleriyle izlenmesi OD4 için gereklidir.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Misyon sayfası.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Vizyon sayfası.</w:t>
      </w:r>
    </w:p>
    <w:p w:rsidR="007A3F65" w:rsidRPr="00EC0A98" w:rsidRDefault="00D6628B">
      <w:pPr>
        <w:pStyle w:val="Evidence"/>
        <w:rPr>
          <w:rFonts w:cs="Times New Roman"/>
        </w:rPr>
      </w:pPr>
      <w:r w:rsidRPr="00EC0A98">
        <w:rPr>
          <w:rFonts w:cs="Times New Roman"/>
          <w:b/>
        </w:rPr>
        <w:lastRenderedPageBreak/>
        <w:t xml:space="preserve">Kanıt 3: </w:t>
      </w:r>
      <w:r w:rsidRPr="00EC0A98">
        <w:rPr>
          <w:rFonts w:cs="Times New Roman"/>
        </w:rPr>
        <w:t>2025 Akademik Birim Raporu: misyon-vizyon ve amaç-hedefler.</w:t>
      </w:r>
    </w:p>
    <w:p w:rsidR="007A3F65" w:rsidRPr="00EC0A98" w:rsidRDefault="00D6628B">
      <w:pPr>
        <w:pStyle w:val="Evidence"/>
        <w:rPr>
          <w:rFonts w:cs="Times New Roman"/>
        </w:rPr>
      </w:pPr>
      <w:r w:rsidRPr="00EC0A98">
        <w:rPr>
          <w:rFonts w:cs="Times New Roman"/>
          <w:b/>
        </w:rPr>
        <w:t xml:space="preserve">Kanıt 4: </w:t>
      </w:r>
      <w:r w:rsidRPr="00EC0A98">
        <w:rPr>
          <w:rFonts w:cs="Times New Roman"/>
        </w:rPr>
        <w:t>Fakülte ders içerikleri ve program sayfaları.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A.2.2. Stratejik amaç ve hedefler</w:t>
      </w:r>
    </w:p>
    <w:p w:rsidR="007A3F65" w:rsidRPr="00EC0A98" w:rsidRDefault="00D6628B">
      <w:pPr>
        <w:rPr>
          <w:rFonts w:cs="Times New Roman"/>
        </w:rPr>
      </w:pPr>
      <w:r w:rsidRPr="00EC0A98">
        <w:rPr>
          <w:rFonts w:cs="Times New Roman"/>
        </w:rPr>
        <w:t>Fakültenin stratejik amaç ve hedefleri üniversitenin temel politikaları ve öncelikleriyle birlikte ele alınmalıdır. 2025 Akademik Birim Raporunda insan kaynağı yetiştirme, araştırma yeteneğini geliştirme, toplumsal dini/sosyal/kültürel sorunlara çözüm üretebilme, bilimsel üretim ve uluslararası görünürlük hedefleri öne çıkmaktadır. PUKÖ tablosunda stratejik planın izlenmesi, hedeflerin performans göstergeleriyle değerlendirilmesi ve iyileştirmelerin yürütülmesi öngörülmektedir.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Amaç ve hedefler raporlanmaktadır. Hedeflerin yıllık göstergelerle izlenmesi, sapma analizlerinin yapılması ve eylem planına dönüştürülmesi gerekir.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amaç ve hedefler, performans bilgileri.</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PUKÖ Döngüsü Süreç İzleme Tablosu.</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Üniversite kalite ve stratejik plan dokümanları.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A.2.3. Performans yönetimi</w:t>
      </w:r>
    </w:p>
    <w:p w:rsidR="007A3F65" w:rsidRPr="00EC0A98" w:rsidRDefault="00D6628B">
      <w:pPr>
        <w:rPr>
          <w:rFonts w:cs="Times New Roman"/>
        </w:rPr>
      </w:pPr>
      <w:r w:rsidRPr="00EC0A98">
        <w:rPr>
          <w:rFonts w:cs="Times New Roman"/>
        </w:rPr>
        <w:t>Fakültenin performans yönetimi akademik birim raporu, yayın/proje göstergeleri, mali bilgiler, insan kaynakları, faaliyet/proje bilgileri ve kalite komisyonlarının izleme çalışmaları üzerinden yapılandırılmaktadır. 2025 yılında uluslararası makale, ulusal makale, bildiri, kitap, hakemlik/editörlük ve proje sayıları raporlanmıştır. Bu veriler kalite raporu açısından güçlü performans kanıtı niteliğindedir.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Performans verileri yıllık raporda mevcuttur. Hedef-gerçekleşme, önceki yıl karşılaştırması ve iyileştirme kararları eklenirse OD4 düzeyi değerlendirilebilir.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yayın, proje, bütçe, insan kaynağı ve faaliyet verileri.</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PUKÖ Döngüsü Süreç İzleme Tablosu.</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Ar-Ge yayın istatistikleri ve proje sayfaları.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A.3.1. Bilgi yönetim sistemi</w:t>
      </w:r>
    </w:p>
    <w:p w:rsidR="007A3F65" w:rsidRPr="00EC0A98" w:rsidRDefault="00D6628B">
      <w:pPr>
        <w:rPr>
          <w:rFonts w:cs="Times New Roman"/>
        </w:rPr>
      </w:pPr>
      <w:r w:rsidRPr="00EC0A98">
        <w:rPr>
          <w:rFonts w:cs="Times New Roman"/>
        </w:rPr>
        <w:t>Fakülte, üniversitenin merkezi bilgi sistemlerini kullanmaktadır. Öğrenci işleri otomasyonu, e-posta, transkript, EBYS, personel ve mali yönetim sistemleri gibi araçlar karar alma ve hizmet sunumunda kullanılmaktadır. Fakülte web sayfası, akademik/idari bilgiler, ders içerikleri, danışmanlıklar, komisyonlar ve kalite belgeleri için bir bilgi paylaşım platformu işlevi görmektedir.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lastRenderedPageBreak/>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Bilgi sistemleri kullanılmaktadır. Verilerin kalite göstergelerine aktarımı, dashboard/raporlama ve düzenli veri doğrulama kanıtları eklenmelidir.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Fakülte ana sayfasındaki e-hizmetler ve öğrenci otomasyonu bağlantıları.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2025 Akademik Birim Raporu: yazılımlar ve teknolojik kaynaklar.</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Kalite sayfaları ve komisyon raporları.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A.3.2. İnsan kaynakları yönetimi</w:t>
      </w:r>
    </w:p>
    <w:p w:rsidR="007A3F65" w:rsidRPr="00EC0A98" w:rsidRDefault="00D6628B">
      <w:pPr>
        <w:rPr>
          <w:rFonts w:cs="Times New Roman"/>
        </w:rPr>
      </w:pPr>
      <w:r w:rsidRPr="00EC0A98">
        <w:rPr>
          <w:rFonts w:cs="Times New Roman"/>
        </w:rPr>
        <w:t>2025 Akademik Birim Raporunda fakültenin akademik personel sayısı 69 olarak verilmiştir. Kadro dağılımı 2 Profesör, 11 Doçent, 20 Doktor Öğretim Üyesi, 8 Öğretim Görevlisi ve 28 Araştırma Görevlisinden oluşmaktadır. İdari personel sayısı 6, sürekli işçi sayısı 4 olarak raporlanmıştır. Raporda öğretim üyesi başına düşen öğrenci sayısının yüksek olması gelişmeye açık alan olarak belirtilmiştir.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İnsan kaynakları verileri raporlanmaktadır. Akademik/idari personel memnuniyeti, eğitim ihtiyacı analizi ve kadro planlaması sonuçlarıyla güçlendirilmelidir.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insan kaynakları tabloları.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Birim Kalite Komitesi ve komisyon görevlendirmeleri.</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Akademik/idari personel sayfaları.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A.3.3. Finansal yönetim</w:t>
      </w:r>
    </w:p>
    <w:p w:rsidR="007A3F65" w:rsidRPr="00EC0A98" w:rsidRDefault="00D6628B">
      <w:pPr>
        <w:rPr>
          <w:rFonts w:cs="Times New Roman"/>
        </w:rPr>
      </w:pPr>
      <w:r w:rsidRPr="00EC0A98">
        <w:rPr>
          <w:rFonts w:cs="Times New Roman"/>
        </w:rPr>
        <w:t>Fakültenin mali yönetimi, kamu mali yönetimi mevzuatı çerçevesinde yürütülmekte; 2025 Akademik Birim Raporunda bütçe ödeneği, serbest ödenek, kesin harcama ve kalan ödenek bilgileri sunulmaktadır. Raporda toplam bütçe ödeneği 88.925.093,07 TL; serbest ödenek 89.449.093,00 TL; kesin harcama 87.558.241,33 TL olarak gösterilmiştir.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Mali bilgiler faaliyet raporu kapsamında sunulmaktadır. Harcama sonuçlarının stratejik hedeflerle ilişkilendirilmesi ve kaynak kullanımının iyileştirme kararlarına bağlanması gerekir.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bütçe uygulama sonuçları.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İç kontrol güvence beyanı.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Taşınır kayıt ve kontrol süreçleri.</w:t>
      </w:r>
    </w:p>
    <w:p w:rsidR="007A3F65" w:rsidRPr="00EC0A98" w:rsidRDefault="00D6628B">
      <w:pPr>
        <w:pStyle w:val="Balk2"/>
        <w:rPr>
          <w:rFonts w:ascii="Times New Roman" w:hAnsi="Times New Roman" w:cs="Times New Roman"/>
        </w:rPr>
      </w:pPr>
      <w:r w:rsidRPr="00EC0A98">
        <w:rPr>
          <w:rFonts w:ascii="Times New Roman" w:hAnsi="Times New Roman" w:cs="Times New Roman"/>
        </w:rPr>
        <w:lastRenderedPageBreak/>
        <w:t>A.3.4. Süreç yönetimi</w:t>
      </w:r>
    </w:p>
    <w:p w:rsidR="007A3F65" w:rsidRPr="00EC0A98" w:rsidRDefault="00D6628B">
      <w:pPr>
        <w:rPr>
          <w:rFonts w:cs="Times New Roman"/>
        </w:rPr>
      </w:pPr>
      <w:r w:rsidRPr="00EC0A98">
        <w:rPr>
          <w:rFonts w:cs="Times New Roman"/>
        </w:rPr>
        <w:t>Fakültede yönetim, öğrenci işleri, yazı işleri, mutemetlik, taşınır kayıt kontrol ve bölüm sekreterliği gibi idari süreçler tanımlı görevler çerçevesinde yürütülmektedir. PUKÖ Döngüsü Süreç İzleme Tablosu, süreçlerin planlama, uygulama, kontrol ve önlem alma aşamalarında takip edilmesi gerektiğini göstermektedir.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Süreçler tanımlanmış ve uygulanmaktadır. Süreç performans göstergeleri, riskler, sorumlular ve iyileştirme sonuçları düzenli izlenirse OD4 düzeyi desteklenir.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idari görev ve sorumluluklar.</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PUKÖ Döngüsü Süreç İzleme Tablosu.</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İç kontrol ve iş akış takvimi sayfaları.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A.4.1. İç ve dış paydaş katılımı</w:t>
      </w:r>
    </w:p>
    <w:p w:rsidR="007A3F65" w:rsidRPr="00EC0A98" w:rsidRDefault="00D6628B">
      <w:pPr>
        <w:rPr>
          <w:rFonts w:cs="Times New Roman"/>
        </w:rPr>
      </w:pPr>
      <w:r w:rsidRPr="00EC0A98">
        <w:rPr>
          <w:rFonts w:cs="Times New Roman"/>
        </w:rPr>
        <w:t>Fakülte kalite çalışmalarında öğrenci, akademik personel, idari personel, sivil toplum ve dış paydaş temsilini artırmaya yönelik bir yapı kurmaktadır. Birim Kalite Komitesinde STK temsilcisi ve öğrenci üyenin yer alması paydaş katılımının kurumsal mekanizmaya dahil edildiğini göstermektedir. Danışma kurulları ve uluslararası danışma kurulu, dış paydaş boyutunu güçlendiren unsurlardır.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Paydaş katılımı kurumsal yapıya yansımıştır. Paydaş görüşlerinin kararlara ve iyileştirme eylemlerine nasıl dönüştüğünü gösteren izleme kanıtları gerekir.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Birim Kalite Komitesi sayfası.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Birim Danışma Kurulu ve Uluslararası Danışma Kurulu sayfaları.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Komisyon ve Kurul Faaliyetleri sayfası.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A.5.1. Uluslararasılaşma süreçleri</w:t>
      </w:r>
    </w:p>
    <w:p w:rsidR="007A3F65" w:rsidRPr="00EC0A98" w:rsidRDefault="00D6628B">
      <w:pPr>
        <w:rPr>
          <w:rFonts w:cs="Times New Roman"/>
        </w:rPr>
      </w:pPr>
      <w:r w:rsidRPr="00EC0A98">
        <w:rPr>
          <w:rFonts w:cs="Times New Roman"/>
        </w:rPr>
        <w:t>Fakülte web sayfasında uluslararasılaşma başlığı altında Erasmus personel/öğrenci hareketliliği, TÜBİTAK, YÖK Genç Beyinler, ikili anlaşmalar, yürütülen projeler, yurt dışı dergi kurul üyelikleri ve tez jüri üyelikleri gibi alt başlıklar bulunmaktadır. 2026 tarihli Uluslararası Danışma Kurulu sayfası fakültenin uluslararası akademik ağ kurma hedefini desteklemektedir.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lastRenderedPageBreak/>
        <w:t xml:space="preserve">Gerekçe: </w:t>
      </w:r>
      <w:r w:rsidRPr="00EC0A98">
        <w:rPr>
          <w:rFonts w:cs="Times New Roman"/>
        </w:rPr>
        <w:t>Uluslararasılaşma için yapı ve görünürlük vardır. Ancak hareketlilik sayıları, ikili anlaşmalar, ortak yayın/proje ve uluslararası öğrenci/personel göstergeleriyle izleme güçlendirilmelidir.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Uluslararası Danışma Kurulu sayfası.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Uluslararasılaşma menüsü: Erasmus, TÜBİTAK, YÖK Genç Beyinler, ikili anlaşmalar.</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2025 Akademik Birim Raporu: proje ve bilimsel faaliyet verileri.</w:t>
      </w:r>
    </w:p>
    <w:p w:rsidR="007A3F65" w:rsidRPr="00EC0A98" w:rsidRDefault="00D6628B">
      <w:pPr>
        <w:pStyle w:val="Balk1"/>
        <w:rPr>
          <w:rFonts w:ascii="Times New Roman" w:hAnsi="Times New Roman" w:cs="Times New Roman"/>
        </w:rPr>
      </w:pPr>
      <w:r w:rsidRPr="00EC0A98">
        <w:rPr>
          <w:rFonts w:ascii="Times New Roman" w:hAnsi="Times New Roman" w:cs="Times New Roman"/>
        </w:rPr>
        <w:t>B. EĞİTİM VE ÖĞRETİM</w:t>
      </w:r>
    </w:p>
    <w:p w:rsidR="007A3F65" w:rsidRPr="00EC0A98" w:rsidRDefault="00D6628B">
      <w:pPr>
        <w:pStyle w:val="Balk2"/>
        <w:rPr>
          <w:rFonts w:ascii="Times New Roman" w:hAnsi="Times New Roman" w:cs="Times New Roman"/>
        </w:rPr>
      </w:pPr>
      <w:r w:rsidRPr="00EC0A98">
        <w:rPr>
          <w:rFonts w:ascii="Times New Roman" w:hAnsi="Times New Roman" w:cs="Times New Roman"/>
        </w:rPr>
        <w:t>B.1. Programların tasarımı, değerlendirmesi ve güncellenmesi</w:t>
      </w:r>
    </w:p>
    <w:p w:rsidR="007A3F65" w:rsidRPr="00EC0A98" w:rsidRDefault="00D6628B">
      <w:pPr>
        <w:rPr>
          <w:rFonts w:cs="Times New Roman"/>
        </w:rPr>
      </w:pPr>
      <w:r w:rsidRPr="00EC0A98">
        <w:rPr>
          <w:rFonts w:cs="Times New Roman"/>
        </w:rPr>
        <w:t>Fakülte, İlahiyat Programı adı altında lisans düzeyinde eğitim vermekte; Temel İslam Bilimleri, Felsefe ve Din Bilimleri ile İslam Tarihi ve Sanatları bölümleri üzerinden programın akademik içeriğini desteklemektedir. Fakülte web sayfasında lisans ders programı, ders içerikleri ve katalogları, hazırlık sınıfı yönergesi, sınav uygulama ilkeleri ve sınav-değerlendirme yönergesi gibi eğitim-öğretim belgeleri yayımlanmaktadır.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Program tasarımı ve mevzuat belgeleri mevcuttur. Program çıktılarının TYYÇ, ders kazanımları, ölçme-değerlendirme sonuçları ve paydaş görüşleriyle izlenmesi gerekir.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Lisans Ders Programı sayfası.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Ders İçerikleri ve Katalogları sayfası.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Hazırlık Sınıfı Yönergesi, Sınav Uygulama İlkeleri ve Sınavlar-Değerlendirme Yönergesi.</w:t>
      </w:r>
    </w:p>
    <w:p w:rsidR="007A3F65" w:rsidRPr="00EC0A98" w:rsidRDefault="00D6628B">
      <w:pPr>
        <w:pStyle w:val="Evidence"/>
        <w:rPr>
          <w:rFonts w:cs="Times New Roman"/>
        </w:rPr>
      </w:pPr>
      <w:r w:rsidRPr="00EC0A98">
        <w:rPr>
          <w:rFonts w:cs="Times New Roman"/>
          <w:b/>
        </w:rPr>
        <w:t xml:space="preserve">Kanıt 4: </w:t>
      </w:r>
      <w:r w:rsidRPr="00EC0A98">
        <w:rPr>
          <w:rFonts w:cs="Times New Roman"/>
        </w:rPr>
        <w:t>2025 Akademik Birim Raporu: eğitim-öğretim bilgileri.</w:t>
      </w:r>
    </w:p>
    <w:p w:rsidR="007A3F65" w:rsidRPr="00EC0A98" w:rsidRDefault="00D6628B">
      <w:pPr>
        <w:pStyle w:val="Balk2"/>
        <w:rPr>
          <w:rFonts w:ascii="Times New Roman" w:hAnsi="Times New Roman" w:cs="Times New Roman"/>
        </w:rPr>
      </w:pPr>
      <w:r w:rsidRPr="00EC0A98">
        <w:rPr>
          <w:rFonts w:ascii="Times New Roman" w:hAnsi="Times New Roman" w:cs="Times New Roman"/>
        </w:rPr>
        <w:t>B.2. Programların yürütülmesi ve öğrenci merkezli öğrenme</w:t>
      </w:r>
    </w:p>
    <w:p w:rsidR="007A3F65" w:rsidRPr="00EC0A98" w:rsidRDefault="00D6628B">
      <w:pPr>
        <w:rPr>
          <w:rFonts w:cs="Times New Roman"/>
        </w:rPr>
      </w:pPr>
      <w:r w:rsidRPr="00EC0A98">
        <w:rPr>
          <w:rFonts w:cs="Times New Roman"/>
        </w:rPr>
        <w:t>Eğitim-öğretim faaliyetleri lisans programı, ders içerikleri, danışmanlıklar, akademik takvim, öğrenci mevzuatı ve öğrenci toplulukları üzerinden yürütülmektedir. Fakültenin öğretmenlik uygulaması, danışman-öğrenci buluşmaları, oryantasyon programı ve ders materyalleri gibi başlıklara web sayfasında yer vermesi öğrenci destek mekanizmalarının görünürlüğünü artırmaktadır.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Öğrenci merkezli süreçler uygulanmaktadır. Öğrenci memnuniyeti, başarı analizi, ders değerlendirme anketleri ve geri bildirimlere dayalı iyileştirme kanıtları eklenmelidir.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Danışmanlıklar sayfası.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Oryantasyon Programı sayfası.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Danışman-Öğrenci Buluşmaları sayfası.</w:t>
      </w:r>
    </w:p>
    <w:p w:rsidR="007A3F65" w:rsidRPr="00EC0A98" w:rsidRDefault="00D6628B">
      <w:pPr>
        <w:pStyle w:val="Evidence"/>
        <w:rPr>
          <w:rFonts w:cs="Times New Roman"/>
        </w:rPr>
      </w:pPr>
      <w:r w:rsidRPr="00EC0A98">
        <w:rPr>
          <w:rFonts w:cs="Times New Roman"/>
          <w:b/>
        </w:rPr>
        <w:t xml:space="preserve">Kanıt 4: </w:t>
      </w:r>
      <w:r w:rsidRPr="00EC0A98">
        <w:rPr>
          <w:rFonts w:cs="Times New Roman"/>
        </w:rPr>
        <w:t>Ders materyalleri sayfaları.</w:t>
      </w:r>
    </w:p>
    <w:p w:rsidR="007A3F65" w:rsidRPr="00EC0A98" w:rsidRDefault="00D6628B">
      <w:pPr>
        <w:pStyle w:val="Evidence"/>
        <w:rPr>
          <w:rFonts w:cs="Times New Roman"/>
        </w:rPr>
      </w:pPr>
      <w:r w:rsidRPr="00EC0A98">
        <w:rPr>
          <w:rFonts w:cs="Times New Roman"/>
          <w:b/>
        </w:rPr>
        <w:t xml:space="preserve">Kanıt 5: </w:t>
      </w:r>
      <w:r w:rsidRPr="00EC0A98">
        <w:rPr>
          <w:rFonts w:cs="Times New Roman"/>
        </w:rPr>
        <w:t>Öğrenci mevzuatı.</w:t>
      </w:r>
    </w:p>
    <w:p w:rsidR="007A3F65" w:rsidRPr="00EC0A98" w:rsidRDefault="00D6628B">
      <w:pPr>
        <w:pStyle w:val="Balk2"/>
        <w:rPr>
          <w:rFonts w:ascii="Times New Roman" w:hAnsi="Times New Roman" w:cs="Times New Roman"/>
        </w:rPr>
      </w:pPr>
      <w:r w:rsidRPr="00EC0A98">
        <w:rPr>
          <w:rFonts w:ascii="Times New Roman" w:hAnsi="Times New Roman" w:cs="Times New Roman"/>
        </w:rPr>
        <w:lastRenderedPageBreak/>
        <w:t>B.3. Öğrenme kaynakları ve akademik destek hizmetleri</w:t>
      </w:r>
    </w:p>
    <w:p w:rsidR="007A3F65" w:rsidRPr="00EC0A98" w:rsidRDefault="00D6628B">
      <w:pPr>
        <w:rPr>
          <w:rFonts w:cs="Times New Roman"/>
        </w:rPr>
      </w:pPr>
      <w:r w:rsidRPr="00EC0A98">
        <w:rPr>
          <w:rFonts w:cs="Times New Roman"/>
        </w:rPr>
        <w:t>2025 Akademik Birim Raporunda fakültenin fiziki ve teknolojik kaynakları ayrıntılı olarak verilmiştir. Rapora göre fakültede 5 amfi, 4 sınıf, 1 bilgisayar laboratuvarı, 1 toplantı salonu, 54 akademik çalışma odası, 75 masaüstü bilgisayar, 26 taşınabilir bilgisayar, 892 kitap ve 32 projeksiyon cihazı bulunmaktadır. Bu kaynaklar eğitim-öğretim, araştırma ve öğrenci destek süreçleri için temel altyapıyı oluşturmaktadır.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Öğrenme kaynakları mevcuttur ve raporlanmaktadır. Kaynakların kullanım sıklığı, öğrenci memnuniyeti ve ihtiyaç analizi sonuçlarıyla izlenmesi gerekir.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fiziksel yapı ve bilgi-teknolojik kaynaklar.</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Ders materyalleri sayfaları.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Öğrenci toplulukları ve danışmanlık sayfaları.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B.4. Öğretim kadrosu</w:t>
      </w:r>
    </w:p>
    <w:p w:rsidR="007A3F65" w:rsidRPr="00EC0A98" w:rsidRDefault="00D6628B">
      <w:pPr>
        <w:rPr>
          <w:rFonts w:cs="Times New Roman"/>
        </w:rPr>
      </w:pPr>
      <w:r w:rsidRPr="00EC0A98">
        <w:rPr>
          <w:rFonts w:cs="Times New Roman"/>
        </w:rPr>
        <w:t>Fakültenin öğretim kadrosu 2025 itibarıyla 69 akademik personelden oluşmaktadır. Araştırma görevlisi sayısının yüksek olması akademik süreklilik ve lisansüstü kapasite bakımından güçlü bir göstergedir. Bununla birlikte 2025 Akademik Birim Raporunda öğretim üyesi başına düşen öğrenci sayısının yüksek olması gelişmeye açık alan olarak belirtilmiştir.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Akademik kadro verileri güçlüdür. Öğretim üyesi ihtiyacı, ders yükü, uzmanlık alanı dağılımı ve akademik gelişim faaliyetleriyle ilişkilendirilmelidir.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akademik personel sayıları.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Akademik personel sayfaları.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Komisyon ve kurul görevleri.</w:t>
      </w:r>
    </w:p>
    <w:p w:rsidR="007A3F65" w:rsidRPr="00EC0A98" w:rsidRDefault="00D6628B">
      <w:pPr>
        <w:pStyle w:val="Balk1"/>
        <w:rPr>
          <w:rFonts w:ascii="Times New Roman" w:hAnsi="Times New Roman" w:cs="Times New Roman"/>
        </w:rPr>
      </w:pPr>
      <w:r w:rsidRPr="00EC0A98">
        <w:rPr>
          <w:rFonts w:ascii="Times New Roman" w:hAnsi="Times New Roman" w:cs="Times New Roman"/>
        </w:rPr>
        <w:t>C. ARAŞTIRMA VE GELİŞTİRME</w:t>
      </w:r>
    </w:p>
    <w:p w:rsidR="007A3F65" w:rsidRPr="00EC0A98" w:rsidRDefault="00D6628B">
      <w:pPr>
        <w:pStyle w:val="Balk2"/>
        <w:rPr>
          <w:rFonts w:ascii="Times New Roman" w:hAnsi="Times New Roman" w:cs="Times New Roman"/>
        </w:rPr>
      </w:pPr>
      <w:r w:rsidRPr="00EC0A98">
        <w:rPr>
          <w:rFonts w:ascii="Times New Roman" w:hAnsi="Times New Roman" w:cs="Times New Roman"/>
        </w:rPr>
        <w:t>C.1. Araştırma süreçlerinin yönetimi ve araştırma kaynakları</w:t>
      </w:r>
    </w:p>
    <w:p w:rsidR="007A3F65" w:rsidRPr="00EC0A98" w:rsidRDefault="00D6628B">
      <w:pPr>
        <w:rPr>
          <w:rFonts w:cs="Times New Roman"/>
        </w:rPr>
      </w:pPr>
      <w:r w:rsidRPr="00EC0A98">
        <w:rPr>
          <w:rFonts w:cs="Times New Roman"/>
        </w:rPr>
        <w:t>Fakülte, araştırma faaliyetlerini Ar-Ge komisyonu, projeler, yayın istatistikleri, TÜBİTAK, YÖK Genç Beyinler, BAP, uluslararası danışma kurulu ve bilimsel etkinlikler üzerinden yürütmektedir. 2025 Akademik Birim Raporunda bilimsel toplantılar, yayınlar, editörlük/hakemlik ve proje sayıları raporlanmıştır.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Araştırma süreçleri ve kaynakları görünürdür. Araştırma hedefleri, öncelikli alanlar, destek mekanizmaları ve izleme sonuçları daha sistematik hale getirilmelidir.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bilimsel toplantılar, yayınlar, projeler.</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Araştırma ve Geliştirme Komisyonu toplantı kayıtları.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Projeler ve yayın istatistikleri sayfaları.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C.2. Araştırma yetkinliği, iş birlikleri ve destekler</w:t>
      </w:r>
    </w:p>
    <w:p w:rsidR="007A3F65" w:rsidRPr="00EC0A98" w:rsidRDefault="00D6628B">
      <w:pPr>
        <w:rPr>
          <w:rFonts w:cs="Times New Roman"/>
        </w:rPr>
      </w:pPr>
      <w:r w:rsidRPr="00EC0A98">
        <w:rPr>
          <w:rFonts w:cs="Times New Roman"/>
        </w:rPr>
        <w:t>2025 yılında fakültede 27 uluslararası makale, 6 ulusal makale, 11 uluslararası bildiri, 6 ulusal bildiri ve 9 kitap raporlanmıştır. Editörlük/hakemlik verileri de fakülte akademisyenlerinin akademik ağlara katılımını göstermektedir. Proje başlıklarında Diyanet İşleri Başkanlığı, YÖK Genç Beyinler, BAP, Ar-Ge, TÜBİTAK 2214-A, DAAD ve ÜNİDES gibi farklı destek kaynaklarının yer alması dikkat çekmektedir.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Araştırma yetkinliği ve çıktı sayıları güçlüdür. Nitelik göstergeleri, atıf, indeks, ortak yayın, proje bütçesi ve sürdürülebilir araştırma gruplarıyla izlenmelidir.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yayın ve proje sayıları.</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Yurt dışı dergi kurul üyelikleri ve tez jüri üyeliği sayfaları.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Uluslararası Danışma Kurulu.</w:t>
      </w:r>
    </w:p>
    <w:p w:rsidR="007A3F65" w:rsidRPr="00EC0A98" w:rsidRDefault="00D6628B">
      <w:pPr>
        <w:pStyle w:val="Balk2"/>
        <w:rPr>
          <w:rFonts w:ascii="Times New Roman" w:hAnsi="Times New Roman" w:cs="Times New Roman"/>
        </w:rPr>
      </w:pPr>
      <w:r w:rsidRPr="00EC0A98">
        <w:rPr>
          <w:rFonts w:ascii="Times New Roman" w:hAnsi="Times New Roman" w:cs="Times New Roman"/>
        </w:rPr>
        <w:t>C.3. Araştırma performansı</w:t>
      </w:r>
    </w:p>
    <w:p w:rsidR="007A3F65" w:rsidRPr="00EC0A98" w:rsidRDefault="00D6628B">
      <w:pPr>
        <w:rPr>
          <w:rFonts w:cs="Times New Roman"/>
        </w:rPr>
      </w:pPr>
      <w:r w:rsidRPr="00EC0A98">
        <w:rPr>
          <w:rFonts w:cs="Times New Roman"/>
        </w:rPr>
        <w:t>Fakültenin 2025 yılı araştırma performansı, yayın ve proje sayıları bakımından görünür bir çıktı üretmektedir. Toplam 27 proje/faaliyet ve çok sayıda yayın çıktısı, fakültenin genç bir akademik birim olmasına rağmen araştırma üretkenliğini artırdığını göstermektedir. Bu performansın gelecek yıllarda hedef değerler, karşılaştırmalı trendler ve kalite göstergeleriyle izlenmesi raporun kanıt gücünü yükseltecektir.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Yıllık araştırma verisi vardır. Hedef-gerçekleşme karşılaştırması ve araştırma çıktılarının kalite/nitelik etkisi düzenli izlenirse OD4 düzeyi savunulabilir.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6.4, 6.5, 6.6, 6.7 ve 6.9 bölümleri.</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Yayın İstatistikleri sayfası.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Yürütülen Projeler sayfası.</w:t>
      </w:r>
    </w:p>
    <w:p w:rsidR="007A3F65" w:rsidRPr="00EC0A98" w:rsidRDefault="00D6628B">
      <w:pPr>
        <w:pStyle w:val="Balk1"/>
        <w:rPr>
          <w:rFonts w:ascii="Times New Roman" w:hAnsi="Times New Roman" w:cs="Times New Roman"/>
        </w:rPr>
      </w:pPr>
      <w:r w:rsidRPr="00EC0A98">
        <w:rPr>
          <w:rFonts w:ascii="Times New Roman" w:hAnsi="Times New Roman" w:cs="Times New Roman"/>
        </w:rPr>
        <w:lastRenderedPageBreak/>
        <w:t>D. TOPLUMSAL KATKI</w:t>
      </w:r>
    </w:p>
    <w:p w:rsidR="007A3F65" w:rsidRPr="00EC0A98" w:rsidRDefault="00D6628B">
      <w:pPr>
        <w:pStyle w:val="Balk2"/>
        <w:rPr>
          <w:rFonts w:ascii="Times New Roman" w:hAnsi="Times New Roman" w:cs="Times New Roman"/>
        </w:rPr>
      </w:pPr>
      <w:r w:rsidRPr="00EC0A98">
        <w:rPr>
          <w:rFonts w:ascii="Times New Roman" w:hAnsi="Times New Roman" w:cs="Times New Roman"/>
        </w:rPr>
        <w:t>D.1. Toplumsal katkı süreçlerinin yönetimi</w:t>
      </w:r>
    </w:p>
    <w:p w:rsidR="007A3F65" w:rsidRPr="00EC0A98" w:rsidRDefault="00D6628B">
      <w:pPr>
        <w:rPr>
          <w:rFonts w:cs="Times New Roman"/>
        </w:rPr>
      </w:pPr>
      <w:r w:rsidRPr="00EC0A98">
        <w:rPr>
          <w:rFonts w:cs="Times New Roman"/>
        </w:rPr>
        <w:t>İlahiyat fakülteleri toplumsal katkı boyutu güçlü akademik birimlerdir. Kilis 7 Aralık Üniversitesi İlahiyat Fakültesi, Diyanet İşleri Başkanlığı, Milli Eğitim, STK’lar, öğrenci toplulukları ve şehirle ilişki kurabilecek potansiyele sahiptir. 2025 Akademik Birim Raporunda Diyanet personeline hizmet içi eğitim faaliyeti ve öğrenciler tarafından düzenlenen Filistin Tarihi panelleri gibi toplumsal farkındalık etkinlikleri yer almaktadır.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Toplumsal katkı faaliyetleri vardır. Bu faaliyetlerin hedef kitle, çıktı, memnuniyet ve etki göstergeleriyle izlenmesi gerekir.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bilimsel/toplumsal faaliyetler ve eğitim semineri bilgileri.</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Toplumsal Katkı Komisyonu toplantı kayıtları.</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Öğrenci toplulukları ve topluluk faaliyetleri sayfaları.</w:t>
      </w:r>
    </w:p>
    <w:p w:rsidR="007A3F65" w:rsidRPr="00EC0A98" w:rsidRDefault="00D6628B">
      <w:pPr>
        <w:pStyle w:val="Balk2"/>
        <w:rPr>
          <w:rFonts w:ascii="Times New Roman" w:hAnsi="Times New Roman" w:cs="Times New Roman"/>
        </w:rPr>
      </w:pPr>
      <w:r w:rsidRPr="00EC0A98">
        <w:rPr>
          <w:rFonts w:ascii="Times New Roman" w:hAnsi="Times New Roman" w:cs="Times New Roman"/>
        </w:rPr>
        <w:t>D.2. Toplumsal katkı performansı</w:t>
      </w:r>
    </w:p>
    <w:p w:rsidR="007A3F65" w:rsidRPr="00EC0A98" w:rsidRDefault="00D6628B">
      <w:pPr>
        <w:rPr>
          <w:rFonts w:cs="Times New Roman"/>
        </w:rPr>
      </w:pPr>
      <w:r w:rsidRPr="00EC0A98">
        <w:rPr>
          <w:rFonts w:cs="Times New Roman"/>
        </w:rPr>
        <w:t>2025 yılında Diyanet personeline hizmet içi eğitim faaliyeti, kültürel ve dini içerikli konferanslar, Filistin Tarihi panelleri, söyleşi ve seminerler toplumsal katkı performansının görünür örnekleridir. Fakültenin Kilis’in sınır ili kimliği, göç, din hizmetleri, sosyal uyum, manevi danışmanlık ve kültürel miras alanlarında özgün toplumsal katkı projeleri geliştirme potansiyeli yüksektir.</w:t>
      </w:r>
    </w:p>
    <w:p w:rsidR="007A3F65" w:rsidRPr="00EC0A98" w:rsidRDefault="00D6628B">
      <w:pPr>
        <w:pStyle w:val="Balk3"/>
        <w:rPr>
          <w:rFonts w:ascii="Times New Roman" w:hAnsi="Times New Roman" w:cs="Times New Roman"/>
        </w:rPr>
      </w:pPr>
      <w:r w:rsidRPr="00EC0A98">
        <w:rPr>
          <w:rFonts w:ascii="Times New Roman" w:hAnsi="Times New Roman" w:cs="Times New Roman"/>
        </w:rPr>
        <w:t>Olgunluk Düzeyi</w:t>
      </w:r>
    </w:p>
    <w:tbl>
      <w:tblPr>
        <w:tblStyle w:val="TabloKlavuzu"/>
        <w:tblW w:w="0" w:type="auto"/>
        <w:jc w:val="center"/>
        <w:tblLook w:val="04A0" w:firstRow="1" w:lastRow="0" w:firstColumn="1" w:lastColumn="0" w:noHBand="0" w:noVBand="1"/>
      </w:tblPr>
      <w:tblGrid>
        <w:gridCol w:w="1925"/>
        <w:gridCol w:w="1924"/>
        <w:gridCol w:w="1924"/>
        <w:gridCol w:w="1925"/>
        <w:gridCol w:w="1924"/>
      </w:tblGrid>
      <w:tr w:rsidR="007A3F65" w:rsidRPr="00EC0A98">
        <w:trPr>
          <w:jc w:val="center"/>
        </w:trPr>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1</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2</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3</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4</w:t>
            </w:r>
          </w:p>
        </w:tc>
        <w:tc>
          <w:tcPr>
            <w:tcW w:w="1926"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5</w:t>
            </w:r>
          </w:p>
        </w:tc>
      </w:tr>
      <w:tr w:rsidR="007A3F65" w:rsidRPr="00EC0A98">
        <w:trPr>
          <w:jc w:val="center"/>
        </w:trPr>
        <w:tc>
          <w:tcPr>
            <w:tcW w:w="1926" w:type="dxa"/>
            <w:vAlign w:val="center"/>
          </w:tcPr>
          <w:p w:rsidR="007A3F65" w:rsidRPr="00EC0A98" w:rsidRDefault="00D6628B">
            <w:pPr>
              <w:spacing w:after="0"/>
              <w:jc w:val="center"/>
              <w:rPr>
                <w:rFonts w:cs="Times New Roman"/>
              </w:rPr>
            </w:pPr>
            <w:r w:rsidRPr="00EC0A98">
              <w:rPr>
                <w:rFonts w:cs="Times New Roman"/>
                <w:sz w:val="15"/>
              </w:rPr>
              <w:t>Planlama bulunmamaktadır.</w:t>
            </w:r>
          </w:p>
        </w:tc>
        <w:tc>
          <w:tcPr>
            <w:tcW w:w="1926" w:type="dxa"/>
            <w:vAlign w:val="center"/>
          </w:tcPr>
          <w:p w:rsidR="007A3F65" w:rsidRPr="00EC0A98" w:rsidRDefault="00D6628B">
            <w:pPr>
              <w:spacing w:after="0"/>
              <w:jc w:val="center"/>
              <w:rPr>
                <w:rFonts w:cs="Times New Roman"/>
              </w:rPr>
            </w:pPr>
            <w:r w:rsidRPr="00EC0A98">
              <w:rPr>
                <w:rFonts w:cs="Times New Roman"/>
                <w:sz w:val="15"/>
              </w:rPr>
              <w:t>Alt ölçüte ilişkin planlamalar yapılmıştır.</w:t>
            </w:r>
          </w:p>
        </w:tc>
        <w:tc>
          <w:tcPr>
            <w:tcW w:w="1926" w:type="dxa"/>
            <w:vAlign w:val="center"/>
          </w:tcPr>
          <w:p w:rsidR="007A3F65" w:rsidRPr="00EC0A98" w:rsidRDefault="00D6628B">
            <w:pPr>
              <w:spacing w:after="0"/>
              <w:jc w:val="center"/>
              <w:rPr>
                <w:rFonts w:cs="Times New Roman"/>
              </w:rPr>
            </w:pPr>
            <w:r w:rsidRPr="00EC0A98">
              <w:rPr>
                <w:rFonts w:cs="Times New Roman"/>
                <w:sz w:val="15"/>
              </w:rPr>
              <w:t>Planlamaların hayata geçirildiği uygulamalar mevcuttur.</w:t>
            </w:r>
          </w:p>
        </w:tc>
        <w:tc>
          <w:tcPr>
            <w:tcW w:w="1926" w:type="dxa"/>
            <w:vAlign w:val="center"/>
          </w:tcPr>
          <w:p w:rsidR="007A3F65" w:rsidRPr="00EC0A98" w:rsidRDefault="00D6628B">
            <w:pPr>
              <w:spacing w:after="0"/>
              <w:jc w:val="center"/>
              <w:rPr>
                <w:rFonts w:cs="Times New Roman"/>
              </w:rPr>
            </w:pPr>
            <w:r w:rsidRPr="00EC0A98">
              <w:rPr>
                <w:rFonts w:cs="Times New Roman"/>
                <w:sz w:val="15"/>
              </w:rPr>
              <w:t>Uygulamalar izlenmekte ve iyileştirilmektedir.</w:t>
            </w:r>
          </w:p>
        </w:tc>
        <w:tc>
          <w:tcPr>
            <w:tcW w:w="1926" w:type="dxa"/>
            <w:vAlign w:val="center"/>
          </w:tcPr>
          <w:p w:rsidR="007A3F65" w:rsidRPr="00EC0A98" w:rsidRDefault="00D6628B">
            <w:pPr>
              <w:spacing w:after="0"/>
              <w:jc w:val="center"/>
              <w:rPr>
                <w:rFonts w:cs="Times New Roman"/>
              </w:rPr>
            </w:pPr>
            <w:r w:rsidRPr="00EC0A98">
              <w:rPr>
                <w:rFonts w:cs="Times New Roman"/>
                <w:sz w:val="15"/>
              </w:rPr>
              <w:t>Sistematik, sürdürülebilir ve örnek gösterilebilir uygulamalar bulunmaktadır.</w:t>
            </w:r>
          </w:p>
        </w:tc>
      </w:tr>
      <w:tr w:rsidR="007A3F65" w:rsidRPr="00EC0A98">
        <w:trPr>
          <w:jc w:val="center"/>
        </w:trPr>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D6628B">
            <w:pPr>
              <w:spacing w:after="0"/>
              <w:jc w:val="center"/>
              <w:rPr>
                <w:rFonts w:cs="Times New Roman"/>
              </w:rPr>
            </w:pPr>
            <w:r w:rsidRPr="00EC0A98">
              <w:rPr>
                <w:rFonts w:cs="Times New Roman"/>
                <w:b/>
                <w:sz w:val="20"/>
              </w:rPr>
              <w:t>X</w:t>
            </w:r>
          </w:p>
        </w:tc>
        <w:tc>
          <w:tcPr>
            <w:tcW w:w="1926" w:type="dxa"/>
            <w:vAlign w:val="center"/>
          </w:tcPr>
          <w:p w:rsidR="007A3F65" w:rsidRPr="00EC0A98" w:rsidRDefault="007A3F65">
            <w:pPr>
              <w:spacing w:after="0"/>
              <w:jc w:val="center"/>
              <w:rPr>
                <w:rFonts w:cs="Times New Roman"/>
              </w:rPr>
            </w:pPr>
          </w:p>
        </w:tc>
        <w:tc>
          <w:tcPr>
            <w:tcW w:w="1926" w:type="dxa"/>
            <w:vAlign w:val="center"/>
          </w:tcPr>
          <w:p w:rsidR="007A3F65" w:rsidRPr="00EC0A98" w:rsidRDefault="007A3F65">
            <w:pPr>
              <w:spacing w:after="0"/>
              <w:jc w:val="center"/>
              <w:rPr>
                <w:rFonts w:cs="Times New Roman"/>
              </w:rPr>
            </w:pPr>
          </w:p>
        </w:tc>
      </w:tr>
    </w:tbl>
    <w:p w:rsidR="007A3F65" w:rsidRPr="00EC0A98" w:rsidRDefault="00D6628B">
      <w:pPr>
        <w:pStyle w:val="SmallText"/>
        <w:jc w:val="both"/>
        <w:rPr>
          <w:rFonts w:cs="Times New Roman"/>
        </w:rPr>
      </w:pPr>
      <w:r w:rsidRPr="00EC0A98">
        <w:rPr>
          <w:rFonts w:cs="Times New Roman"/>
          <w:b/>
        </w:rPr>
        <w:t xml:space="preserve">Gerekçe: </w:t>
      </w:r>
      <w:r w:rsidRPr="00EC0A98">
        <w:rPr>
          <w:rFonts w:cs="Times New Roman"/>
        </w:rPr>
        <w:t>Performans örnekleri vardır. Katılımcı sayısı, hedef kitle memnuniyeti, sürdürülebilirlik ve çıktı/etki analizi eklenirse OD4 düzeyi için güçlü zemin oluşur.</w:t>
      </w:r>
    </w:p>
    <w:p w:rsidR="007A3F65" w:rsidRPr="00EC0A98" w:rsidRDefault="00D6628B">
      <w:pPr>
        <w:pStyle w:val="Balk3"/>
        <w:rPr>
          <w:rFonts w:ascii="Times New Roman" w:hAnsi="Times New Roman" w:cs="Times New Roman"/>
        </w:rPr>
      </w:pPr>
      <w:r w:rsidRPr="00EC0A98">
        <w:rPr>
          <w:rFonts w:ascii="Times New Roman" w:hAnsi="Times New Roman" w:cs="Times New Roman"/>
        </w:rPr>
        <w:t>Kanıtlar</w:t>
      </w:r>
    </w:p>
    <w:p w:rsidR="007A3F65" w:rsidRPr="00EC0A98" w:rsidRDefault="00D6628B">
      <w:pPr>
        <w:pStyle w:val="Evidence"/>
        <w:rPr>
          <w:rFonts w:cs="Times New Roman"/>
        </w:rPr>
      </w:pPr>
      <w:r w:rsidRPr="00EC0A98">
        <w:rPr>
          <w:rFonts w:cs="Times New Roman"/>
          <w:b/>
        </w:rPr>
        <w:t xml:space="preserve">Kanıt 1: </w:t>
      </w:r>
      <w:r w:rsidRPr="00EC0A98">
        <w:rPr>
          <w:rFonts w:cs="Times New Roman"/>
        </w:rPr>
        <w:t>2025 Akademik Birim Raporu: faaliyet ve proje bilgileri.</w:t>
      </w:r>
    </w:p>
    <w:p w:rsidR="007A3F65" w:rsidRPr="00EC0A98" w:rsidRDefault="00D6628B">
      <w:pPr>
        <w:pStyle w:val="Evidence"/>
        <w:rPr>
          <w:rFonts w:cs="Times New Roman"/>
        </w:rPr>
      </w:pPr>
      <w:r w:rsidRPr="00EC0A98">
        <w:rPr>
          <w:rFonts w:cs="Times New Roman"/>
          <w:b/>
        </w:rPr>
        <w:t xml:space="preserve">Kanıt 2: </w:t>
      </w:r>
      <w:r w:rsidRPr="00EC0A98">
        <w:rPr>
          <w:rFonts w:cs="Times New Roman"/>
        </w:rPr>
        <w:t>Toplumsal Katkı Komisyonu faaliyetleri.</w:t>
      </w:r>
    </w:p>
    <w:p w:rsidR="007A3F65" w:rsidRPr="00EC0A98" w:rsidRDefault="00D6628B">
      <w:pPr>
        <w:pStyle w:val="Evidence"/>
        <w:rPr>
          <w:rFonts w:cs="Times New Roman"/>
        </w:rPr>
      </w:pPr>
      <w:r w:rsidRPr="00EC0A98">
        <w:rPr>
          <w:rFonts w:cs="Times New Roman"/>
          <w:b/>
        </w:rPr>
        <w:t xml:space="preserve">Kanıt 3: </w:t>
      </w:r>
      <w:r w:rsidRPr="00EC0A98">
        <w:rPr>
          <w:rFonts w:cs="Times New Roman"/>
        </w:rPr>
        <w:t>ÜNİDES projesi ve Diyanet İşleri Başkanlığı proje/faaliyet bilgileri.</w:t>
      </w:r>
    </w:p>
    <w:p w:rsidR="007A3F65" w:rsidRPr="00EC0A98" w:rsidRDefault="00D6628B">
      <w:pPr>
        <w:pStyle w:val="Balk1"/>
        <w:rPr>
          <w:rFonts w:ascii="Times New Roman" w:hAnsi="Times New Roman" w:cs="Times New Roman"/>
        </w:rPr>
      </w:pPr>
      <w:r w:rsidRPr="00EC0A98">
        <w:rPr>
          <w:rFonts w:ascii="Times New Roman" w:hAnsi="Times New Roman" w:cs="Times New Roman"/>
        </w:rPr>
        <w:t>5. GÜÇLÜ YÖNLER VE İYİLEŞTİRMEYE AÇIK ALANLAR</w:t>
      </w:r>
    </w:p>
    <w:p w:rsidR="007A3F65" w:rsidRPr="00EC0A98" w:rsidRDefault="00D6628B">
      <w:pPr>
        <w:rPr>
          <w:rFonts w:cs="Times New Roman"/>
        </w:rPr>
      </w:pPr>
      <w:r w:rsidRPr="00EC0A98">
        <w:rPr>
          <w:rFonts w:cs="Times New Roman"/>
        </w:rPr>
        <w:t>Aşağıdaki değerlendirme, 2025 Akademik Birim Raporunda yer alan kurumsal kabiliyet ve kapasite değerlendirmesi ile bu BÖDR taslağında yapılan kalite ölçütü analizinin birleştirilmesiyle hazırlanmıştır.</w:t>
      </w:r>
    </w:p>
    <w:tbl>
      <w:tblPr>
        <w:tblStyle w:val="TabloKlavuzu"/>
        <w:tblW w:w="0" w:type="auto"/>
        <w:jc w:val="center"/>
        <w:tblLook w:val="04A0" w:firstRow="1" w:lastRow="0" w:firstColumn="1" w:lastColumn="0" w:noHBand="0" w:noVBand="1"/>
      </w:tblPr>
      <w:tblGrid>
        <w:gridCol w:w="4649"/>
        <w:gridCol w:w="4649"/>
      </w:tblGrid>
      <w:tr w:rsidR="007A3F65" w:rsidRPr="00EC0A98">
        <w:trPr>
          <w:jc w:val="center"/>
        </w:trPr>
        <w:tc>
          <w:tcPr>
            <w:tcW w:w="4649"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Güçlü Yönler</w:t>
            </w:r>
          </w:p>
        </w:tc>
        <w:tc>
          <w:tcPr>
            <w:tcW w:w="4649" w:type="dxa"/>
            <w:shd w:val="clear" w:color="auto" w:fill="D9EAF7"/>
            <w:vAlign w:val="center"/>
          </w:tcPr>
          <w:p w:rsidR="007A3F65" w:rsidRPr="00EC0A98" w:rsidRDefault="00D6628B">
            <w:pPr>
              <w:spacing w:after="0"/>
              <w:jc w:val="center"/>
              <w:rPr>
                <w:rFonts w:cs="Times New Roman"/>
              </w:rPr>
            </w:pPr>
            <w:r w:rsidRPr="00EC0A98">
              <w:rPr>
                <w:rFonts w:cs="Times New Roman"/>
                <w:b/>
                <w:sz w:val="17"/>
              </w:rPr>
              <w:t>İyileştirmeye Açık Alanlar</w:t>
            </w:r>
          </w:p>
        </w:tc>
      </w:tr>
      <w:tr w:rsidR="007A3F65" w:rsidRPr="00EC0A98">
        <w:trPr>
          <w:jc w:val="center"/>
        </w:trPr>
        <w:tc>
          <w:tcPr>
            <w:tcW w:w="4649" w:type="dxa"/>
            <w:vAlign w:val="center"/>
          </w:tcPr>
          <w:p w:rsidR="007A3F65" w:rsidRPr="00EC0A98" w:rsidRDefault="00D6628B">
            <w:pPr>
              <w:spacing w:after="0"/>
              <w:jc w:val="left"/>
              <w:rPr>
                <w:rFonts w:cs="Times New Roman"/>
              </w:rPr>
            </w:pPr>
            <w:r w:rsidRPr="00EC0A98">
              <w:rPr>
                <w:rFonts w:cs="Times New Roman"/>
                <w:sz w:val="17"/>
              </w:rPr>
              <w:t>Genç ve dinamik fakülte yapısı; merkez kampüste yer alma; lisansüstü programların varlığı.</w:t>
            </w:r>
          </w:p>
        </w:tc>
        <w:tc>
          <w:tcPr>
            <w:tcW w:w="4649" w:type="dxa"/>
            <w:vAlign w:val="center"/>
          </w:tcPr>
          <w:p w:rsidR="007A3F65" w:rsidRPr="00EC0A98" w:rsidRDefault="00D6628B">
            <w:pPr>
              <w:spacing w:after="0"/>
              <w:jc w:val="left"/>
              <w:rPr>
                <w:rFonts w:cs="Times New Roman"/>
              </w:rPr>
            </w:pPr>
            <w:r w:rsidRPr="00EC0A98">
              <w:rPr>
                <w:rFonts w:cs="Times New Roman"/>
                <w:sz w:val="17"/>
              </w:rPr>
              <w:t>Öğretim üyesi başına düşen öğrenci sayısının yüksek olması.</w:t>
            </w:r>
          </w:p>
        </w:tc>
      </w:tr>
      <w:tr w:rsidR="007A3F65" w:rsidRPr="00EC0A98">
        <w:trPr>
          <w:jc w:val="center"/>
        </w:trPr>
        <w:tc>
          <w:tcPr>
            <w:tcW w:w="4649" w:type="dxa"/>
            <w:vAlign w:val="center"/>
          </w:tcPr>
          <w:p w:rsidR="007A3F65" w:rsidRPr="00EC0A98" w:rsidRDefault="00D6628B">
            <w:pPr>
              <w:spacing w:after="0"/>
              <w:jc w:val="left"/>
              <w:rPr>
                <w:rFonts w:cs="Times New Roman"/>
              </w:rPr>
            </w:pPr>
            <w:r w:rsidRPr="00EC0A98">
              <w:rPr>
                <w:rFonts w:cs="Times New Roman"/>
                <w:sz w:val="17"/>
              </w:rPr>
              <w:t>69 kişilik akademik kadro ve yüksek araştırma görevlisi sayısı.</w:t>
            </w:r>
          </w:p>
        </w:tc>
        <w:tc>
          <w:tcPr>
            <w:tcW w:w="4649" w:type="dxa"/>
            <w:vAlign w:val="center"/>
          </w:tcPr>
          <w:p w:rsidR="007A3F65" w:rsidRPr="00EC0A98" w:rsidRDefault="00D6628B">
            <w:pPr>
              <w:spacing w:after="0"/>
              <w:jc w:val="left"/>
              <w:rPr>
                <w:rFonts w:cs="Times New Roman"/>
              </w:rPr>
            </w:pPr>
            <w:r w:rsidRPr="00EC0A98">
              <w:rPr>
                <w:rFonts w:cs="Times New Roman"/>
                <w:sz w:val="17"/>
              </w:rPr>
              <w:t>Akademik kadro planlamasının ders yükü ve öğrenci sayısı verileriyle güçlendirilmesi.</w:t>
            </w:r>
          </w:p>
        </w:tc>
      </w:tr>
      <w:tr w:rsidR="007A3F65" w:rsidRPr="00EC0A98">
        <w:trPr>
          <w:jc w:val="center"/>
        </w:trPr>
        <w:tc>
          <w:tcPr>
            <w:tcW w:w="4649" w:type="dxa"/>
            <w:vAlign w:val="center"/>
          </w:tcPr>
          <w:p w:rsidR="007A3F65" w:rsidRPr="00EC0A98" w:rsidRDefault="00D6628B">
            <w:pPr>
              <w:spacing w:after="0"/>
              <w:jc w:val="left"/>
              <w:rPr>
                <w:rFonts w:cs="Times New Roman"/>
              </w:rPr>
            </w:pPr>
            <w:r w:rsidRPr="00EC0A98">
              <w:rPr>
                <w:rFonts w:cs="Times New Roman"/>
                <w:sz w:val="17"/>
              </w:rPr>
              <w:t>2025 yılında 27 uluslararası makale, 6 ulusal makale, 17 bildiri ve 9 kitap çıktısı.</w:t>
            </w:r>
          </w:p>
        </w:tc>
        <w:tc>
          <w:tcPr>
            <w:tcW w:w="4649" w:type="dxa"/>
            <w:vAlign w:val="center"/>
          </w:tcPr>
          <w:p w:rsidR="007A3F65" w:rsidRPr="00EC0A98" w:rsidRDefault="00D6628B">
            <w:pPr>
              <w:spacing w:after="0"/>
              <w:jc w:val="left"/>
              <w:rPr>
                <w:rFonts w:cs="Times New Roman"/>
              </w:rPr>
            </w:pPr>
            <w:r w:rsidRPr="00EC0A98">
              <w:rPr>
                <w:rFonts w:cs="Times New Roman"/>
                <w:sz w:val="17"/>
              </w:rPr>
              <w:t>Yayınların kalite göstergeleri, atıf, indeks, ortak yayın ve kişi başı performans analizinin yapılması.</w:t>
            </w:r>
          </w:p>
        </w:tc>
      </w:tr>
      <w:tr w:rsidR="007A3F65" w:rsidRPr="00EC0A98">
        <w:trPr>
          <w:jc w:val="center"/>
        </w:trPr>
        <w:tc>
          <w:tcPr>
            <w:tcW w:w="4649" w:type="dxa"/>
            <w:vAlign w:val="center"/>
          </w:tcPr>
          <w:p w:rsidR="007A3F65" w:rsidRPr="00EC0A98" w:rsidRDefault="00D6628B">
            <w:pPr>
              <w:spacing w:after="0"/>
              <w:jc w:val="left"/>
              <w:rPr>
                <w:rFonts w:cs="Times New Roman"/>
              </w:rPr>
            </w:pPr>
            <w:r w:rsidRPr="00EC0A98">
              <w:rPr>
                <w:rFonts w:cs="Times New Roman"/>
                <w:sz w:val="17"/>
              </w:rPr>
              <w:lastRenderedPageBreak/>
              <w:t>Diyanet, YÖK Genç Beyinler, BAP, TÜBİTAK, DAAD ve ÜNİDES başlıklarında proje/faaliyet görünürlüğü.</w:t>
            </w:r>
          </w:p>
        </w:tc>
        <w:tc>
          <w:tcPr>
            <w:tcW w:w="4649" w:type="dxa"/>
            <w:vAlign w:val="center"/>
          </w:tcPr>
          <w:p w:rsidR="007A3F65" w:rsidRPr="00EC0A98" w:rsidRDefault="00D6628B">
            <w:pPr>
              <w:spacing w:after="0"/>
              <w:jc w:val="left"/>
              <w:rPr>
                <w:rFonts w:cs="Times New Roman"/>
              </w:rPr>
            </w:pPr>
            <w:r w:rsidRPr="00EC0A98">
              <w:rPr>
                <w:rFonts w:cs="Times New Roman"/>
                <w:sz w:val="17"/>
              </w:rPr>
              <w:t>Proje bütçeleri, sonuç raporları ve etki analizlerinin düzenli izlenmesi.</w:t>
            </w:r>
          </w:p>
        </w:tc>
      </w:tr>
      <w:tr w:rsidR="007A3F65" w:rsidRPr="00EC0A98">
        <w:trPr>
          <w:jc w:val="center"/>
        </w:trPr>
        <w:tc>
          <w:tcPr>
            <w:tcW w:w="4649" w:type="dxa"/>
            <w:vAlign w:val="center"/>
          </w:tcPr>
          <w:p w:rsidR="007A3F65" w:rsidRPr="00EC0A98" w:rsidRDefault="00D6628B">
            <w:pPr>
              <w:spacing w:after="0"/>
              <w:jc w:val="left"/>
              <w:rPr>
                <w:rFonts w:cs="Times New Roman"/>
              </w:rPr>
            </w:pPr>
            <w:r w:rsidRPr="00EC0A98">
              <w:rPr>
                <w:rFonts w:cs="Times New Roman"/>
                <w:sz w:val="17"/>
              </w:rPr>
              <w:t>Kalite komisyonları, PUKÖ tablosu ve komisyon faaliyetlerinin web sayfasında görünür hale getirilmesi.</w:t>
            </w:r>
          </w:p>
        </w:tc>
        <w:tc>
          <w:tcPr>
            <w:tcW w:w="4649" w:type="dxa"/>
            <w:vAlign w:val="center"/>
          </w:tcPr>
          <w:p w:rsidR="007A3F65" w:rsidRPr="00EC0A98" w:rsidRDefault="00D6628B">
            <w:pPr>
              <w:spacing w:after="0"/>
              <w:jc w:val="left"/>
              <w:rPr>
                <w:rFonts w:cs="Times New Roman"/>
              </w:rPr>
            </w:pPr>
            <w:r w:rsidRPr="00EC0A98">
              <w:rPr>
                <w:rFonts w:cs="Times New Roman"/>
                <w:sz w:val="17"/>
              </w:rPr>
              <w:t>PUKÖ döngüsünün kontrol ve önlem alma aşamalarına ilişkin sonuç kanıtlarının tamamlanması.</w:t>
            </w:r>
          </w:p>
        </w:tc>
      </w:tr>
      <w:tr w:rsidR="007A3F65" w:rsidRPr="00EC0A98">
        <w:trPr>
          <w:jc w:val="center"/>
        </w:trPr>
        <w:tc>
          <w:tcPr>
            <w:tcW w:w="4649" w:type="dxa"/>
            <w:vAlign w:val="center"/>
          </w:tcPr>
          <w:p w:rsidR="007A3F65" w:rsidRPr="00EC0A98" w:rsidRDefault="00D6628B">
            <w:pPr>
              <w:spacing w:after="0"/>
              <w:jc w:val="left"/>
              <w:rPr>
                <w:rFonts w:cs="Times New Roman"/>
              </w:rPr>
            </w:pPr>
            <w:r w:rsidRPr="00EC0A98">
              <w:rPr>
                <w:rFonts w:cs="Times New Roman"/>
                <w:sz w:val="17"/>
              </w:rPr>
              <w:t>Birim Kalite Komitesinde STK temsilcisi ve öğrenci üyenin bulunması.</w:t>
            </w:r>
          </w:p>
        </w:tc>
        <w:tc>
          <w:tcPr>
            <w:tcW w:w="4649" w:type="dxa"/>
            <w:vAlign w:val="center"/>
          </w:tcPr>
          <w:p w:rsidR="007A3F65" w:rsidRPr="00EC0A98" w:rsidRDefault="00D6628B">
            <w:pPr>
              <w:spacing w:after="0"/>
              <w:jc w:val="left"/>
              <w:rPr>
                <w:rFonts w:cs="Times New Roman"/>
              </w:rPr>
            </w:pPr>
            <w:r w:rsidRPr="00EC0A98">
              <w:rPr>
                <w:rFonts w:cs="Times New Roman"/>
                <w:sz w:val="17"/>
              </w:rPr>
              <w:t>Paydaş görüşlerinin karar ve iyileştirme süreçlerine etkisini gösteren izleme tablosunun oluşturulması.</w:t>
            </w:r>
          </w:p>
        </w:tc>
      </w:tr>
      <w:tr w:rsidR="007A3F65" w:rsidRPr="00EC0A98">
        <w:trPr>
          <w:jc w:val="center"/>
        </w:trPr>
        <w:tc>
          <w:tcPr>
            <w:tcW w:w="4649" w:type="dxa"/>
            <w:vAlign w:val="center"/>
          </w:tcPr>
          <w:p w:rsidR="007A3F65" w:rsidRPr="00EC0A98" w:rsidRDefault="00D6628B">
            <w:pPr>
              <w:spacing w:after="0"/>
              <w:jc w:val="left"/>
              <w:rPr>
                <w:rFonts w:cs="Times New Roman"/>
              </w:rPr>
            </w:pPr>
            <w:r w:rsidRPr="00EC0A98">
              <w:rPr>
                <w:rFonts w:cs="Times New Roman"/>
                <w:sz w:val="17"/>
              </w:rPr>
              <w:t>Uluslararası Danışma Kurulu ile uluslararasılaşma görünürlüğünün artırılması.</w:t>
            </w:r>
          </w:p>
        </w:tc>
        <w:tc>
          <w:tcPr>
            <w:tcW w:w="4649" w:type="dxa"/>
            <w:vAlign w:val="center"/>
          </w:tcPr>
          <w:p w:rsidR="007A3F65" w:rsidRPr="00EC0A98" w:rsidRDefault="00D6628B">
            <w:pPr>
              <w:spacing w:after="0"/>
              <w:jc w:val="left"/>
              <w:rPr>
                <w:rFonts w:cs="Times New Roman"/>
              </w:rPr>
            </w:pPr>
            <w:r w:rsidRPr="00EC0A98">
              <w:rPr>
                <w:rFonts w:cs="Times New Roman"/>
                <w:sz w:val="17"/>
              </w:rPr>
              <w:t>Erasmus, ikili anlaşma, ortak yayın ve hareketlilik verilerinin hedefe dayalı izlenmesi.</w:t>
            </w:r>
          </w:p>
        </w:tc>
      </w:tr>
    </w:tbl>
    <w:p w:rsidR="007A3F65" w:rsidRPr="00EC0A98" w:rsidRDefault="00D6628B">
      <w:pPr>
        <w:rPr>
          <w:rFonts w:cs="Times New Roman"/>
        </w:rPr>
      </w:pPr>
      <w:r w:rsidRPr="00EC0A98">
        <w:rPr>
          <w:rFonts w:cs="Times New Roman"/>
        </w:rPr>
        <w:br w:type="page"/>
      </w:r>
    </w:p>
    <w:p w:rsidR="007A3F65" w:rsidRPr="00EC0A98" w:rsidRDefault="00D6628B">
      <w:pPr>
        <w:pStyle w:val="Balk1"/>
        <w:rPr>
          <w:rFonts w:ascii="Times New Roman" w:hAnsi="Times New Roman" w:cs="Times New Roman"/>
        </w:rPr>
      </w:pPr>
      <w:r w:rsidRPr="00EC0A98">
        <w:rPr>
          <w:rFonts w:ascii="Times New Roman" w:hAnsi="Times New Roman" w:cs="Times New Roman"/>
        </w:rPr>
        <w:lastRenderedPageBreak/>
        <w:t>6. 2026 İYİLEŞTİRME EYLEM PLANI TASLAĞI</w:t>
      </w:r>
    </w:p>
    <w:tbl>
      <w:tblPr>
        <w:tblStyle w:val="TabloKlavuzu"/>
        <w:tblW w:w="0" w:type="auto"/>
        <w:jc w:val="center"/>
        <w:tblLook w:val="04A0" w:firstRow="1" w:lastRow="0" w:firstColumn="1" w:lastColumn="0" w:noHBand="0" w:noVBand="1"/>
      </w:tblPr>
      <w:tblGrid>
        <w:gridCol w:w="513"/>
        <w:gridCol w:w="1950"/>
        <w:gridCol w:w="2275"/>
        <w:gridCol w:w="1840"/>
        <w:gridCol w:w="1855"/>
        <w:gridCol w:w="1189"/>
      </w:tblGrid>
      <w:tr w:rsidR="007A3F65" w:rsidRPr="00EC0A98">
        <w:trPr>
          <w:jc w:val="center"/>
        </w:trPr>
        <w:tc>
          <w:tcPr>
            <w:tcW w:w="567" w:type="dxa"/>
            <w:shd w:val="clear" w:color="auto" w:fill="D9EAF7"/>
            <w:vAlign w:val="center"/>
          </w:tcPr>
          <w:p w:rsidR="007A3F65" w:rsidRPr="00EC0A98" w:rsidRDefault="00D6628B">
            <w:pPr>
              <w:spacing w:after="0"/>
              <w:jc w:val="center"/>
              <w:rPr>
                <w:rFonts w:cs="Times New Roman"/>
              </w:rPr>
            </w:pPr>
            <w:r w:rsidRPr="00EC0A98">
              <w:rPr>
                <w:rFonts w:cs="Times New Roman"/>
                <w:b/>
                <w:sz w:val="15"/>
              </w:rPr>
              <w:t>No</w:t>
            </w:r>
          </w:p>
        </w:tc>
        <w:tc>
          <w:tcPr>
            <w:tcW w:w="2268" w:type="dxa"/>
            <w:shd w:val="clear" w:color="auto" w:fill="D9EAF7"/>
            <w:vAlign w:val="center"/>
          </w:tcPr>
          <w:p w:rsidR="007A3F65" w:rsidRPr="00EC0A98" w:rsidRDefault="00D6628B">
            <w:pPr>
              <w:spacing w:after="0"/>
              <w:jc w:val="center"/>
              <w:rPr>
                <w:rFonts w:cs="Times New Roman"/>
              </w:rPr>
            </w:pPr>
            <w:r w:rsidRPr="00EC0A98">
              <w:rPr>
                <w:rFonts w:cs="Times New Roman"/>
                <w:b/>
                <w:sz w:val="15"/>
              </w:rPr>
              <w:t>İyileştirme Alanı</w:t>
            </w:r>
          </w:p>
        </w:tc>
        <w:tc>
          <w:tcPr>
            <w:tcW w:w="2835" w:type="dxa"/>
            <w:shd w:val="clear" w:color="auto" w:fill="D9EAF7"/>
            <w:vAlign w:val="center"/>
          </w:tcPr>
          <w:p w:rsidR="007A3F65" w:rsidRPr="00EC0A98" w:rsidRDefault="00D6628B">
            <w:pPr>
              <w:spacing w:after="0"/>
              <w:jc w:val="center"/>
              <w:rPr>
                <w:rFonts w:cs="Times New Roman"/>
              </w:rPr>
            </w:pPr>
            <w:r w:rsidRPr="00EC0A98">
              <w:rPr>
                <w:rFonts w:cs="Times New Roman"/>
                <w:b/>
                <w:sz w:val="15"/>
              </w:rPr>
              <w:t>Eylem</w:t>
            </w:r>
          </w:p>
        </w:tc>
        <w:tc>
          <w:tcPr>
            <w:tcW w:w="1984" w:type="dxa"/>
            <w:shd w:val="clear" w:color="auto" w:fill="D9EAF7"/>
            <w:vAlign w:val="center"/>
          </w:tcPr>
          <w:p w:rsidR="007A3F65" w:rsidRPr="00EC0A98" w:rsidRDefault="00D6628B">
            <w:pPr>
              <w:spacing w:after="0"/>
              <w:jc w:val="center"/>
              <w:rPr>
                <w:rFonts w:cs="Times New Roman"/>
              </w:rPr>
            </w:pPr>
            <w:r w:rsidRPr="00EC0A98">
              <w:rPr>
                <w:rFonts w:cs="Times New Roman"/>
                <w:b/>
                <w:sz w:val="15"/>
              </w:rPr>
              <w:t>Sorumlu</w:t>
            </w:r>
          </w:p>
        </w:tc>
        <w:tc>
          <w:tcPr>
            <w:tcW w:w="2268" w:type="dxa"/>
            <w:shd w:val="clear" w:color="auto" w:fill="D9EAF7"/>
            <w:vAlign w:val="center"/>
          </w:tcPr>
          <w:p w:rsidR="007A3F65" w:rsidRPr="00EC0A98" w:rsidRDefault="00D6628B">
            <w:pPr>
              <w:spacing w:after="0"/>
              <w:jc w:val="center"/>
              <w:rPr>
                <w:rFonts w:cs="Times New Roman"/>
              </w:rPr>
            </w:pPr>
            <w:r w:rsidRPr="00EC0A98">
              <w:rPr>
                <w:rFonts w:cs="Times New Roman"/>
                <w:b/>
                <w:sz w:val="15"/>
              </w:rPr>
              <w:t>Kanıt/Çıktı</w:t>
            </w:r>
          </w:p>
        </w:tc>
        <w:tc>
          <w:tcPr>
            <w:tcW w:w="1417" w:type="dxa"/>
            <w:shd w:val="clear" w:color="auto" w:fill="D9EAF7"/>
            <w:vAlign w:val="center"/>
          </w:tcPr>
          <w:p w:rsidR="007A3F65" w:rsidRPr="00EC0A98" w:rsidRDefault="00D6628B">
            <w:pPr>
              <w:spacing w:after="0"/>
              <w:jc w:val="center"/>
              <w:rPr>
                <w:rFonts w:cs="Times New Roman"/>
              </w:rPr>
            </w:pPr>
            <w:r w:rsidRPr="00EC0A98">
              <w:rPr>
                <w:rFonts w:cs="Times New Roman"/>
                <w:b/>
                <w:sz w:val="15"/>
              </w:rPr>
              <w:t>Takvim</w:t>
            </w:r>
          </w:p>
        </w:tc>
      </w:tr>
      <w:tr w:rsidR="007A3F65" w:rsidRPr="00EC0A98">
        <w:trPr>
          <w:jc w:val="center"/>
        </w:trPr>
        <w:tc>
          <w:tcPr>
            <w:tcW w:w="567" w:type="dxa"/>
            <w:vAlign w:val="center"/>
          </w:tcPr>
          <w:p w:rsidR="007A3F65" w:rsidRPr="00EC0A98" w:rsidRDefault="00D6628B">
            <w:pPr>
              <w:spacing w:after="0"/>
              <w:jc w:val="center"/>
              <w:rPr>
                <w:rFonts w:cs="Times New Roman"/>
              </w:rPr>
            </w:pPr>
            <w:r w:rsidRPr="00EC0A98">
              <w:rPr>
                <w:rFonts w:cs="Times New Roman"/>
                <w:sz w:val="15"/>
              </w:rPr>
              <w:t>1</w:t>
            </w:r>
          </w:p>
        </w:tc>
        <w:tc>
          <w:tcPr>
            <w:tcW w:w="2268" w:type="dxa"/>
            <w:vAlign w:val="center"/>
          </w:tcPr>
          <w:p w:rsidR="007A3F65" w:rsidRPr="00EC0A98" w:rsidRDefault="00D6628B">
            <w:pPr>
              <w:spacing w:after="0"/>
              <w:jc w:val="left"/>
              <w:rPr>
                <w:rFonts w:cs="Times New Roman"/>
              </w:rPr>
            </w:pPr>
            <w:r w:rsidRPr="00EC0A98">
              <w:rPr>
                <w:rFonts w:cs="Times New Roman"/>
                <w:sz w:val="15"/>
              </w:rPr>
              <w:t>PUKÖ döngüsünün kapatılması</w:t>
            </w:r>
          </w:p>
        </w:tc>
        <w:tc>
          <w:tcPr>
            <w:tcW w:w="2835" w:type="dxa"/>
            <w:vAlign w:val="center"/>
          </w:tcPr>
          <w:p w:rsidR="007A3F65" w:rsidRPr="00EC0A98" w:rsidRDefault="00D6628B">
            <w:pPr>
              <w:spacing w:after="0"/>
              <w:jc w:val="left"/>
              <w:rPr>
                <w:rFonts w:cs="Times New Roman"/>
              </w:rPr>
            </w:pPr>
            <w:r w:rsidRPr="00EC0A98">
              <w:rPr>
                <w:rFonts w:cs="Times New Roman"/>
                <w:sz w:val="15"/>
              </w:rPr>
              <w:t>2025 PUKÖ gerçekleşme ve sonuç raporunun hazırlanması.</w:t>
            </w:r>
          </w:p>
        </w:tc>
        <w:tc>
          <w:tcPr>
            <w:tcW w:w="1984" w:type="dxa"/>
            <w:vAlign w:val="center"/>
          </w:tcPr>
          <w:p w:rsidR="007A3F65" w:rsidRPr="00EC0A98" w:rsidRDefault="00D6628B">
            <w:pPr>
              <w:spacing w:after="0"/>
              <w:jc w:val="left"/>
              <w:rPr>
                <w:rFonts w:cs="Times New Roman"/>
              </w:rPr>
            </w:pPr>
            <w:r w:rsidRPr="00EC0A98">
              <w:rPr>
                <w:rFonts w:cs="Times New Roman"/>
                <w:sz w:val="15"/>
              </w:rPr>
              <w:t>Birim Kalite Komitesi</w:t>
            </w:r>
          </w:p>
        </w:tc>
        <w:tc>
          <w:tcPr>
            <w:tcW w:w="2268" w:type="dxa"/>
            <w:vAlign w:val="center"/>
          </w:tcPr>
          <w:p w:rsidR="007A3F65" w:rsidRPr="00EC0A98" w:rsidRDefault="00D6628B">
            <w:pPr>
              <w:spacing w:after="0"/>
              <w:jc w:val="left"/>
              <w:rPr>
                <w:rFonts w:cs="Times New Roman"/>
              </w:rPr>
            </w:pPr>
            <w:r w:rsidRPr="00EC0A98">
              <w:rPr>
                <w:rFonts w:cs="Times New Roman"/>
                <w:sz w:val="15"/>
              </w:rPr>
              <w:t>Gerçekleşme raporu, karar tutanağı, web yayını</w:t>
            </w:r>
          </w:p>
        </w:tc>
        <w:tc>
          <w:tcPr>
            <w:tcW w:w="1417" w:type="dxa"/>
            <w:vAlign w:val="center"/>
          </w:tcPr>
          <w:p w:rsidR="007A3F65" w:rsidRPr="00EC0A98" w:rsidRDefault="00D6628B">
            <w:pPr>
              <w:spacing w:after="0"/>
              <w:jc w:val="center"/>
              <w:rPr>
                <w:rFonts w:cs="Times New Roman"/>
              </w:rPr>
            </w:pPr>
            <w:r w:rsidRPr="00EC0A98">
              <w:rPr>
                <w:rFonts w:cs="Times New Roman"/>
                <w:sz w:val="15"/>
              </w:rPr>
              <w:t>2026/1. yarı</w:t>
            </w:r>
          </w:p>
        </w:tc>
      </w:tr>
      <w:tr w:rsidR="007A3F65" w:rsidRPr="00EC0A98">
        <w:trPr>
          <w:jc w:val="center"/>
        </w:trPr>
        <w:tc>
          <w:tcPr>
            <w:tcW w:w="567" w:type="dxa"/>
            <w:vAlign w:val="center"/>
          </w:tcPr>
          <w:p w:rsidR="007A3F65" w:rsidRPr="00EC0A98" w:rsidRDefault="00D6628B">
            <w:pPr>
              <w:spacing w:after="0"/>
              <w:jc w:val="center"/>
              <w:rPr>
                <w:rFonts w:cs="Times New Roman"/>
              </w:rPr>
            </w:pPr>
            <w:r w:rsidRPr="00EC0A98">
              <w:rPr>
                <w:rFonts w:cs="Times New Roman"/>
                <w:sz w:val="15"/>
              </w:rPr>
              <w:t>2</w:t>
            </w:r>
          </w:p>
        </w:tc>
        <w:tc>
          <w:tcPr>
            <w:tcW w:w="2268" w:type="dxa"/>
            <w:vAlign w:val="center"/>
          </w:tcPr>
          <w:p w:rsidR="007A3F65" w:rsidRPr="00EC0A98" w:rsidRDefault="00D6628B">
            <w:pPr>
              <w:spacing w:after="0"/>
              <w:jc w:val="center"/>
              <w:rPr>
                <w:rFonts w:cs="Times New Roman"/>
              </w:rPr>
            </w:pPr>
            <w:r w:rsidRPr="00EC0A98">
              <w:rPr>
                <w:rFonts w:cs="Times New Roman"/>
                <w:sz w:val="15"/>
              </w:rPr>
              <w:t>Paydaş katılımı</w:t>
            </w:r>
          </w:p>
        </w:tc>
        <w:tc>
          <w:tcPr>
            <w:tcW w:w="2835" w:type="dxa"/>
            <w:vAlign w:val="center"/>
          </w:tcPr>
          <w:p w:rsidR="007A3F65" w:rsidRPr="00EC0A98" w:rsidRDefault="00D6628B">
            <w:pPr>
              <w:spacing w:after="0"/>
              <w:jc w:val="left"/>
              <w:rPr>
                <w:rFonts w:cs="Times New Roman"/>
              </w:rPr>
            </w:pPr>
            <w:r w:rsidRPr="00EC0A98">
              <w:rPr>
                <w:rFonts w:cs="Times New Roman"/>
                <w:sz w:val="15"/>
              </w:rPr>
              <w:t>Öğrenci, mezun, akademik/idari personel ve dış paydaş anketlerinin uygulanması.</w:t>
            </w:r>
          </w:p>
        </w:tc>
        <w:tc>
          <w:tcPr>
            <w:tcW w:w="1984" w:type="dxa"/>
            <w:vAlign w:val="center"/>
          </w:tcPr>
          <w:p w:rsidR="007A3F65" w:rsidRPr="00EC0A98" w:rsidRDefault="00D6628B">
            <w:pPr>
              <w:spacing w:after="0"/>
              <w:jc w:val="left"/>
              <w:rPr>
                <w:rFonts w:cs="Times New Roman"/>
              </w:rPr>
            </w:pPr>
            <w:r w:rsidRPr="00EC0A98">
              <w:rPr>
                <w:rFonts w:cs="Times New Roman"/>
                <w:sz w:val="15"/>
              </w:rPr>
              <w:t>Kalite Komitesi + Danışma Kurulu</w:t>
            </w:r>
          </w:p>
        </w:tc>
        <w:tc>
          <w:tcPr>
            <w:tcW w:w="2268" w:type="dxa"/>
            <w:vAlign w:val="center"/>
          </w:tcPr>
          <w:p w:rsidR="007A3F65" w:rsidRPr="00EC0A98" w:rsidRDefault="00D6628B">
            <w:pPr>
              <w:spacing w:after="0"/>
              <w:jc w:val="left"/>
              <w:rPr>
                <w:rFonts w:cs="Times New Roman"/>
              </w:rPr>
            </w:pPr>
            <w:r w:rsidRPr="00EC0A98">
              <w:rPr>
                <w:rFonts w:cs="Times New Roman"/>
                <w:sz w:val="15"/>
              </w:rPr>
              <w:t>Anket raporları, öneri-aksiyon tablosu</w:t>
            </w:r>
          </w:p>
        </w:tc>
        <w:tc>
          <w:tcPr>
            <w:tcW w:w="1417" w:type="dxa"/>
            <w:vAlign w:val="center"/>
          </w:tcPr>
          <w:p w:rsidR="007A3F65" w:rsidRPr="00EC0A98" w:rsidRDefault="00D6628B">
            <w:pPr>
              <w:spacing w:after="0"/>
              <w:jc w:val="center"/>
              <w:rPr>
                <w:rFonts w:cs="Times New Roman"/>
              </w:rPr>
            </w:pPr>
            <w:r w:rsidRPr="00EC0A98">
              <w:rPr>
                <w:rFonts w:cs="Times New Roman"/>
                <w:sz w:val="15"/>
              </w:rPr>
              <w:t>2026/1-2. yarı</w:t>
            </w:r>
          </w:p>
        </w:tc>
      </w:tr>
      <w:tr w:rsidR="007A3F65" w:rsidRPr="00EC0A98">
        <w:trPr>
          <w:jc w:val="center"/>
        </w:trPr>
        <w:tc>
          <w:tcPr>
            <w:tcW w:w="567" w:type="dxa"/>
            <w:vAlign w:val="center"/>
          </w:tcPr>
          <w:p w:rsidR="007A3F65" w:rsidRPr="00EC0A98" w:rsidRDefault="00D6628B">
            <w:pPr>
              <w:spacing w:after="0"/>
              <w:jc w:val="center"/>
              <w:rPr>
                <w:rFonts w:cs="Times New Roman"/>
              </w:rPr>
            </w:pPr>
            <w:r w:rsidRPr="00EC0A98">
              <w:rPr>
                <w:rFonts w:cs="Times New Roman"/>
                <w:sz w:val="15"/>
              </w:rPr>
              <w:t>3</w:t>
            </w:r>
          </w:p>
        </w:tc>
        <w:tc>
          <w:tcPr>
            <w:tcW w:w="2268" w:type="dxa"/>
            <w:vAlign w:val="center"/>
          </w:tcPr>
          <w:p w:rsidR="007A3F65" w:rsidRPr="00EC0A98" w:rsidRDefault="00D6628B">
            <w:pPr>
              <w:spacing w:after="0"/>
              <w:jc w:val="center"/>
              <w:rPr>
                <w:rFonts w:cs="Times New Roman"/>
              </w:rPr>
            </w:pPr>
            <w:r w:rsidRPr="00EC0A98">
              <w:rPr>
                <w:rFonts w:cs="Times New Roman"/>
                <w:sz w:val="15"/>
              </w:rPr>
              <w:t>Program çıktıları</w:t>
            </w:r>
          </w:p>
        </w:tc>
        <w:tc>
          <w:tcPr>
            <w:tcW w:w="2835" w:type="dxa"/>
            <w:vAlign w:val="center"/>
          </w:tcPr>
          <w:p w:rsidR="007A3F65" w:rsidRPr="00EC0A98" w:rsidRDefault="00D6628B">
            <w:pPr>
              <w:spacing w:after="0"/>
              <w:jc w:val="left"/>
              <w:rPr>
                <w:rFonts w:cs="Times New Roman"/>
              </w:rPr>
            </w:pPr>
            <w:r w:rsidRPr="00EC0A98">
              <w:rPr>
                <w:rFonts w:cs="Times New Roman"/>
                <w:sz w:val="15"/>
              </w:rPr>
              <w:t>Program çıktıları, ders kazanımları ve ölçme-değerlendirme yöntemlerinin eşleştirilmesi.</w:t>
            </w:r>
          </w:p>
        </w:tc>
        <w:tc>
          <w:tcPr>
            <w:tcW w:w="1984" w:type="dxa"/>
            <w:vAlign w:val="center"/>
          </w:tcPr>
          <w:p w:rsidR="007A3F65" w:rsidRPr="00EC0A98" w:rsidRDefault="00D6628B">
            <w:pPr>
              <w:spacing w:after="0"/>
              <w:jc w:val="left"/>
              <w:rPr>
                <w:rFonts w:cs="Times New Roman"/>
              </w:rPr>
            </w:pPr>
            <w:r w:rsidRPr="00EC0A98">
              <w:rPr>
                <w:rFonts w:cs="Times New Roman"/>
                <w:sz w:val="15"/>
              </w:rPr>
              <w:t>Eğitim-Öğretim Komisyonu</w:t>
            </w:r>
          </w:p>
        </w:tc>
        <w:tc>
          <w:tcPr>
            <w:tcW w:w="2268" w:type="dxa"/>
            <w:vAlign w:val="center"/>
          </w:tcPr>
          <w:p w:rsidR="007A3F65" w:rsidRPr="00EC0A98" w:rsidRDefault="00D6628B">
            <w:pPr>
              <w:spacing w:after="0"/>
              <w:jc w:val="left"/>
              <w:rPr>
                <w:rFonts w:cs="Times New Roman"/>
              </w:rPr>
            </w:pPr>
            <w:r w:rsidRPr="00EC0A98">
              <w:rPr>
                <w:rFonts w:cs="Times New Roman"/>
                <w:sz w:val="15"/>
              </w:rPr>
              <w:t>Müfredat-çıktı matrisi, kurul kararı</w:t>
            </w:r>
          </w:p>
        </w:tc>
        <w:tc>
          <w:tcPr>
            <w:tcW w:w="1417" w:type="dxa"/>
            <w:vAlign w:val="center"/>
          </w:tcPr>
          <w:p w:rsidR="007A3F65" w:rsidRPr="00EC0A98" w:rsidRDefault="00D6628B">
            <w:pPr>
              <w:spacing w:after="0"/>
              <w:jc w:val="center"/>
              <w:rPr>
                <w:rFonts w:cs="Times New Roman"/>
              </w:rPr>
            </w:pPr>
            <w:r w:rsidRPr="00EC0A98">
              <w:rPr>
                <w:rFonts w:cs="Times New Roman"/>
                <w:sz w:val="15"/>
              </w:rPr>
              <w:t>2026/2. yarı</w:t>
            </w:r>
          </w:p>
        </w:tc>
      </w:tr>
      <w:tr w:rsidR="007A3F65" w:rsidRPr="00EC0A98">
        <w:trPr>
          <w:jc w:val="center"/>
        </w:trPr>
        <w:tc>
          <w:tcPr>
            <w:tcW w:w="567" w:type="dxa"/>
            <w:vAlign w:val="center"/>
          </w:tcPr>
          <w:p w:rsidR="007A3F65" w:rsidRPr="00EC0A98" w:rsidRDefault="00D6628B">
            <w:pPr>
              <w:spacing w:after="0"/>
              <w:jc w:val="center"/>
              <w:rPr>
                <w:rFonts w:cs="Times New Roman"/>
              </w:rPr>
            </w:pPr>
            <w:r w:rsidRPr="00EC0A98">
              <w:rPr>
                <w:rFonts w:cs="Times New Roman"/>
                <w:sz w:val="15"/>
              </w:rPr>
              <w:t>4</w:t>
            </w:r>
          </w:p>
        </w:tc>
        <w:tc>
          <w:tcPr>
            <w:tcW w:w="2268" w:type="dxa"/>
            <w:vAlign w:val="center"/>
          </w:tcPr>
          <w:p w:rsidR="007A3F65" w:rsidRPr="00EC0A98" w:rsidRDefault="00D6628B">
            <w:pPr>
              <w:spacing w:after="0"/>
              <w:jc w:val="left"/>
              <w:rPr>
                <w:rFonts w:cs="Times New Roman"/>
              </w:rPr>
            </w:pPr>
            <w:r w:rsidRPr="00EC0A98">
              <w:rPr>
                <w:rFonts w:cs="Times New Roman"/>
                <w:sz w:val="15"/>
              </w:rPr>
              <w:t>Araştırma performansı</w:t>
            </w:r>
          </w:p>
        </w:tc>
        <w:tc>
          <w:tcPr>
            <w:tcW w:w="2835" w:type="dxa"/>
            <w:vAlign w:val="center"/>
          </w:tcPr>
          <w:p w:rsidR="007A3F65" w:rsidRPr="00EC0A98" w:rsidRDefault="00D6628B">
            <w:pPr>
              <w:spacing w:after="0"/>
              <w:jc w:val="left"/>
              <w:rPr>
                <w:rFonts w:cs="Times New Roman"/>
              </w:rPr>
            </w:pPr>
            <w:r w:rsidRPr="00EC0A98">
              <w:rPr>
                <w:rFonts w:cs="Times New Roman"/>
                <w:sz w:val="15"/>
              </w:rPr>
              <w:t>Yayın/proje trend analizi ve kişi başı performans göstergelerinin hazırlanması.</w:t>
            </w:r>
          </w:p>
        </w:tc>
        <w:tc>
          <w:tcPr>
            <w:tcW w:w="1984" w:type="dxa"/>
            <w:vAlign w:val="center"/>
          </w:tcPr>
          <w:p w:rsidR="007A3F65" w:rsidRPr="00EC0A98" w:rsidRDefault="00D6628B">
            <w:pPr>
              <w:spacing w:after="0"/>
              <w:jc w:val="center"/>
              <w:rPr>
                <w:rFonts w:cs="Times New Roman"/>
              </w:rPr>
            </w:pPr>
            <w:r w:rsidRPr="00EC0A98">
              <w:rPr>
                <w:rFonts w:cs="Times New Roman"/>
                <w:sz w:val="15"/>
              </w:rPr>
              <w:t>Ar-Ge Komisyonu</w:t>
            </w:r>
          </w:p>
        </w:tc>
        <w:tc>
          <w:tcPr>
            <w:tcW w:w="2268" w:type="dxa"/>
            <w:vAlign w:val="center"/>
          </w:tcPr>
          <w:p w:rsidR="007A3F65" w:rsidRPr="00EC0A98" w:rsidRDefault="00D6628B">
            <w:pPr>
              <w:spacing w:after="0"/>
              <w:jc w:val="left"/>
              <w:rPr>
                <w:rFonts w:cs="Times New Roman"/>
              </w:rPr>
            </w:pPr>
            <w:r w:rsidRPr="00EC0A98">
              <w:rPr>
                <w:rFonts w:cs="Times New Roman"/>
                <w:sz w:val="15"/>
              </w:rPr>
              <w:t>Araştırma performans raporu</w:t>
            </w:r>
          </w:p>
        </w:tc>
        <w:tc>
          <w:tcPr>
            <w:tcW w:w="1417" w:type="dxa"/>
            <w:vAlign w:val="center"/>
          </w:tcPr>
          <w:p w:rsidR="007A3F65" w:rsidRPr="00EC0A98" w:rsidRDefault="00D6628B">
            <w:pPr>
              <w:spacing w:after="0"/>
              <w:jc w:val="center"/>
              <w:rPr>
                <w:rFonts w:cs="Times New Roman"/>
              </w:rPr>
            </w:pPr>
            <w:r w:rsidRPr="00EC0A98">
              <w:rPr>
                <w:rFonts w:cs="Times New Roman"/>
                <w:sz w:val="15"/>
              </w:rPr>
              <w:t>2026/2. yarı</w:t>
            </w:r>
          </w:p>
        </w:tc>
      </w:tr>
      <w:tr w:rsidR="007A3F65" w:rsidRPr="00EC0A98">
        <w:trPr>
          <w:jc w:val="center"/>
        </w:trPr>
        <w:tc>
          <w:tcPr>
            <w:tcW w:w="567" w:type="dxa"/>
            <w:vAlign w:val="center"/>
          </w:tcPr>
          <w:p w:rsidR="007A3F65" w:rsidRPr="00EC0A98" w:rsidRDefault="00D6628B">
            <w:pPr>
              <w:spacing w:after="0"/>
              <w:jc w:val="center"/>
              <w:rPr>
                <w:rFonts w:cs="Times New Roman"/>
              </w:rPr>
            </w:pPr>
            <w:r w:rsidRPr="00EC0A98">
              <w:rPr>
                <w:rFonts w:cs="Times New Roman"/>
                <w:sz w:val="15"/>
              </w:rPr>
              <w:t>5</w:t>
            </w:r>
          </w:p>
        </w:tc>
        <w:tc>
          <w:tcPr>
            <w:tcW w:w="2268" w:type="dxa"/>
            <w:vAlign w:val="center"/>
          </w:tcPr>
          <w:p w:rsidR="007A3F65" w:rsidRPr="00EC0A98" w:rsidRDefault="00D6628B">
            <w:pPr>
              <w:spacing w:after="0"/>
              <w:jc w:val="left"/>
              <w:rPr>
                <w:rFonts w:cs="Times New Roman"/>
              </w:rPr>
            </w:pPr>
            <w:r w:rsidRPr="00EC0A98">
              <w:rPr>
                <w:rFonts w:cs="Times New Roman"/>
                <w:sz w:val="15"/>
              </w:rPr>
              <w:t>Toplumsal katkı etkisi</w:t>
            </w:r>
          </w:p>
        </w:tc>
        <w:tc>
          <w:tcPr>
            <w:tcW w:w="2835" w:type="dxa"/>
            <w:vAlign w:val="center"/>
          </w:tcPr>
          <w:p w:rsidR="007A3F65" w:rsidRPr="00EC0A98" w:rsidRDefault="00D6628B">
            <w:pPr>
              <w:spacing w:after="0"/>
              <w:jc w:val="left"/>
              <w:rPr>
                <w:rFonts w:cs="Times New Roman"/>
              </w:rPr>
            </w:pPr>
            <w:r w:rsidRPr="00EC0A98">
              <w:rPr>
                <w:rFonts w:cs="Times New Roman"/>
                <w:sz w:val="15"/>
              </w:rPr>
              <w:t>Toplumsal katkı faaliyetlerinde hedef kitle, katılımcı sayısı ve memnuniyet ölçümü yapılması.</w:t>
            </w:r>
          </w:p>
        </w:tc>
        <w:tc>
          <w:tcPr>
            <w:tcW w:w="1984" w:type="dxa"/>
            <w:vAlign w:val="center"/>
          </w:tcPr>
          <w:p w:rsidR="007A3F65" w:rsidRPr="00EC0A98" w:rsidRDefault="00D6628B">
            <w:pPr>
              <w:spacing w:after="0"/>
              <w:jc w:val="left"/>
              <w:rPr>
                <w:rFonts w:cs="Times New Roman"/>
              </w:rPr>
            </w:pPr>
            <w:r w:rsidRPr="00EC0A98">
              <w:rPr>
                <w:rFonts w:cs="Times New Roman"/>
                <w:sz w:val="15"/>
              </w:rPr>
              <w:t>Toplumsal Katkı Komisyonu</w:t>
            </w:r>
          </w:p>
        </w:tc>
        <w:tc>
          <w:tcPr>
            <w:tcW w:w="2268" w:type="dxa"/>
            <w:vAlign w:val="center"/>
          </w:tcPr>
          <w:p w:rsidR="007A3F65" w:rsidRPr="00EC0A98" w:rsidRDefault="00D6628B">
            <w:pPr>
              <w:spacing w:after="0"/>
              <w:jc w:val="left"/>
              <w:rPr>
                <w:rFonts w:cs="Times New Roman"/>
              </w:rPr>
            </w:pPr>
            <w:r w:rsidRPr="00EC0A98">
              <w:rPr>
                <w:rFonts w:cs="Times New Roman"/>
                <w:sz w:val="15"/>
              </w:rPr>
              <w:t>Etkinlik etki formları ve yıllık özet rapor</w:t>
            </w:r>
          </w:p>
        </w:tc>
        <w:tc>
          <w:tcPr>
            <w:tcW w:w="1417" w:type="dxa"/>
            <w:vAlign w:val="center"/>
          </w:tcPr>
          <w:p w:rsidR="007A3F65" w:rsidRPr="00EC0A98" w:rsidRDefault="00D6628B">
            <w:pPr>
              <w:spacing w:after="0"/>
              <w:jc w:val="center"/>
              <w:rPr>
                <w:rFonts w:cs="Times New Roman"/>
              </w:rPr>
            </w:pPr>
            <w:r w:rsidRPr="00EC0A98">
              <w:rPr>
                <w:rFonts w:cs="Times New Roman"/>
                <w:sz w:val="15"/>
              </w:rPr>
              <w:t>Sürekli</w:t>
            </w:r>
          </w:p>
        </w:tc>
      </w:tr>
      <w:tr w:rsidR="007A3F65" w:rsidRPr="00EC0A98">
        <w:trPr>
          <w:jc w:val="center"/>
        </w:trPr>
        <w:tc>
          <w:tcPr>
            <w:tcW w:w="567" w:type="dxa"/>
            <w:vAlign w:val="center"/>
          </w:tcPr>
          <w:p w:rsidR="007A3F65" w:rsidRPr="00EC0A98" w:rsidRDefault="00D6628B">
            <w:pPr>
              <w:spacing w:after="0"/>
              <w:jc w:val="center"/>
              <w:rPr>
                <w:rFonts w:cs="Times New Roman"/>
              </w:rPr>
            </w:pPr>
            <w:r w:rsidRPr="00EC0A98">
              <w:rPr>
                <w:rFonts w:cs="Times New Roman"/>
                <w:sz w:val="15"/>
              </w:rPr>
              <w:t>6</w:t>
            </w:r>
          </w:p>
        </w:tc>
        <w:tc>
          <w:tcPr>
            <w:tcW w:w="2268" w:type="dxa"/>
            <w:vAlign w:val="center"/>
          </w:tcPr>
          <w:p w:rsidR="007A3F65" w:rsidRPr="00EC0A98" w:rsidRDefault="00D6628B">
            <w:pPr>
              <w:spacing w:after="0"/>
              <w:jc w:val="center"/>
              <w:rPr>
                <w:rFonts w:cs="Times New Roman"/>
              </w:rPr>
            </w:pPr>
            <w:r w:rsidRPr="00EC0A98">
              <w:rPr>
                <w:rFonts w:cs="Times New Roman"/>
                <w:sz w:val="15"/>
              </w:rPr>
              <w:t>Uluslararasılaşma</w:t>
            </w:r>
          </w:p>
        </w:tc>
        <w:tc>
          <w:tcPr>
            <w:tcW w:w="2835" w:type="dxa"/>
            <w:vAlign w:val="center"/>
          </w:tcPr>
          <w:p w:rsidR="007A3F65" w:rsidRPr="00EC0A98" w:rsidRDefault="00D6628B">
            <w:pPr>
              <w:spacing w:after="0"/>
              <w:jc w:val="left"/>
              <w:rPr>
                <w:rFonts w:cs="Times New Roman"/>
              </w:rPr>
            </w:pPr>
            <w:r w:rsidRPr="00EC0A98">
              <w:rPr>
                <w:rFonts w:cs="Times New Roman"/>
                <w:sz w:val="15"/>
              </w:rPr>
              <w:t>Uluslararası danışma kurulu önerileri, Erasmus hareketliliği ve ikili anlaşmaların hedeflerle izlenmesi.</w:t>
            </w:r>
          </w:p>
        </w:tc>
        <w:tc>
          <w:tcPr>
            <w:tcW w:w="1984" w:type="dxa"/>
            <w:vAlign w:val="center"/>
          </w:tcPr>
          <w:p w:rsidR="007A3F65" w:rsidRPr="00EC0A98" w:rsidRDefault="00D6628B">
            <w:pPr>
              <w:spacing w:after="0"/>
              <w:jc w:val="left"/>
              <w:rPr>
                <w:rFonts w:cs="Times New Roman"/>
              </w:rPr>
            </w:pPr>
            <w:r w:rsidRPr="00EC0A98">
              <w:rPr>
                <w:rFonts w:cs="Times New Roman"/>
                <w:sz w:val="15"/>
              </w:rPr>
              <w:t>Uluslararasılaşma/Ar-Ge Komisyonu</w:t>
            </w:r>
          </w:p>
        </w:tc>
        <w:tc>
          <w:tcPr>
            <w:tcW w:w="2268" w:type="dxa"/>
            <w:vAlign w:val="center"/>
          </w:tcPr>
          <w:p w:rsidR="007A3F65" w:rsidRPr="00EC0A98" w:rsidRDefault="00D6628B">
            <w:pPr>
              <w:spacing w:after="0"/>
              <w:jc w:val="left"/>
              <w:rPr>
                <w:rFonts w:cs="Times New Roman"/>
              </w:rPr>
            </w:pPr>
            <w:r w:rsidRPr="00EC0A98">
              <w:rPr>
                <w:rFonts w:cs="Times New Roman"/>
                <w:sz w:val="15"/>
              </w:rPr>
              <w:t>Hedef-gerçekleşme tablosu</w:t>
            </w:r>
          </w:p>
        </w:tc>
        <w:tc>
          <w:tcPr>
            <w:tcW w:w="1417" w:type="dxa"/>
            <w:vAlign w:val="center"/>
          </w:tcPr>
          <w:p w:rsidR="007A3F65" w:rsidRPr="00EC0A98" w:rsidRDefault="00D6628B">
            <w:pPr>
              <w:spacing w:after="0"/>
              <w:jc w:val="center"/>
              <w:rPr>
                <w:rFonts w:cs="Times New Roman"/>
              </w:rPr>
            </w:pPr>
            <w:r w:rsidRPr="00EC0A98">
              <w:rPr>
                <w:rFonts w:cs="Times New Roman"/>
                <w:sz w:val="15"/>
              </w:rPr>
              <w:t>2026/2. yarı</w:t>
            </w:r>
          </w:p>
        </w:tc>
      </w:tr>
      <w:tr w:rsidR="007A3F65" w:rsidRPr="00EC0A98">
        <w:trPr>
          <w:jc w:val="center"/>
        </w:trPr>
        <w:tc>
          <w:tcPr>
            <w:tcW w:w="567" w:type="dxa"/>
            <w:vAlign w:val="center"/>
          </w:tcPr>
          <w:p w:rsidR="007A3F65" w:rsidRPr="00EC0A98" w:rsidRDefault="00D6628B">
            <w:pPr>
              <w:spacing w:after="0"/>
              <w:jc w:val="center"/>
              <w:rPr>
                <w:rFonts w:cs="Times New Roman"/>
              </w:rPr>
            </w:pPr>
            <w:r w:rsidRPr="00EC0A98">
              <w:rPr>
                <w:rFonts w:cs="Times New Roman"/>
                <w:sz w:val="15"/>
              </w:rPr>
              <w:t>7</w:t>
            </w:r>
          </w:p>
        </w:tc>
        <w:tc>
          <w:tcPr>
            <w:tcW w:w="2268" w:type="dxa"/>
            <w:vAlign w:val="center"/>
          </w:tcPr>
          <w:p w:rsidR="007A3F65" w:rsidRPr="00EC0A98" w:rsidRDefault="00D6628B">
            <w:pPr>
              <w:spacing w:after="0"/>
              <w:jc w:val="center"/>
              <w:rPr>
                <w:rFonts w:cs="Times New Roman"/>
              </w:rPr>
            </w:pPr>
            <w:r w:rsidRPr="00EC0A98">
              <w:rPr>
                <w:rFonts w:cs="Times New Roman"/>
                <w:sz w:val="15"/>
              </w:rPr>
              <w:t>Kadro planlaması</w:t>
            </w:r>
          </w:p>
        </w:tc>
        <w:tc>
          <w:tcPr>
            <w:tcW w:w="2835" w:type="dxa"/>
            <w:vAlign w:val="center"/>
          </w:tcPr>
          <w:p w:rsidR="007A3F65" w:rsidRPr="00EC0A98" w:rsidRDefault="00D6628B">
            <w:pPr>
              <w:spacing w:after="0"/>
              <w:jc w:val="left"/>
              <w:rPr>
                <w:rFonts w:cs="Times New Roman"/>
              </w:rPr>
            </w:pPr>
            <w:r w:rsidRPr="00EC0A98">
              <w:rPr>
                <w:rFonts w:cs="Times New Roman"/>
                <w:sz w:val="15"/>
              </w:rPr>
              <w:t>Öğretim üyesi başına düşen öğrenci sayısı ve ders yükü analizinin kadro talep gerekçelerine yansıtılması.</w:t>
            </w:r>
          </w:p>
        </w:tc>
        <w:tc>
          <w:tcPr>
            <w:tcW w:w="1984" w:type="dxa"/>
            <w:vAlign w:val="center"/>
          </w:tcPr>
          <w:p w:rsidR="007A3F65" w:rsidRPr="00EC0A98" w:rsidRDefault="00D6628B">
            <w:pPr>
              <w:spacing w:after="0"/>
              <w:jc w:val="center"/>
              <w:rPr>
                <w:rFonts w:cs="Times New Roman"/>
              </w:rPr>
            </w:pPr>
            <w:r w:rsidRPr="00EC0A98">
              <w:rPr>
                <w:rFonts w:cs="Times New Roman"/>
                <w:sz w:val="15"/>
              </w:rPr>
              <w:t>Dekanlık + Bölümler</w:t>
            </w:r>
          </w:p>
        </w:tc>
        <w:tc>
          <w:tcPr>
            <w:tcW w:w="2268" w:type="dxa"/>
            <w:vAlign w:val="center"/>
          </w:tcPr>
          <w:p w:rsidR="007A3F65" w:rsidRPr="00EC0A98" w:rsidRDefault="00D6628B">
            <w:pPr>
              <w:spacing w:after="0"/>
              <w:jc w:val="center"/>
              <w:rPr>
                <w:rFonts w:cs="Times New Roman"/>
              </w:rPr>
            </w:pPr>
            <w:r w:rsidRPr="00EC0A98">
              <w:rPr>
                <w:rFonts w:cs="Times New Roman"/>
                <w:sz w:val="15"/>
              </w:rPr>
              <w:t>Kadro ihtiyaç raporu</w:t>
            </w:r>
          </w:p>
        </w:tc>
        <w:tc>
          <w:tcPr>
            <w:tcW w:w="1417" w:type="dxa"/>
            <w:vAlign w:val="center"/>
          </w:tcPr>
          <w:p w:rsidR="007A3F65" w:rsidRPr="00EC0A98" w:rsidRDefault="00D6628B">
            <w:pPr>
              <w:spacing w:after="0"/>
              <w:jc w:val="center"/>
              <w:rPr>
                <w:rFonts w:cs="Times New Roman"/>
              </w:rPr>
            </w:pPr>
            <w:r w:rsidRPr="00EC0A98">
              <w:rPr>
                <w:rFonts w:cs="Times New Roman"/>
                <w:sz w:val="15"/>
              </w:rPr>
              <w:t>2026/1. yarı</w:t>
            </w:r>
          </w:p>
        </w:tc>
      </w:tr>
    </w:tbl>
    <w:p w:rsidR="007A3F65" w:rsidRPr="00EC0A98" w:rsidRDefault="00EC0A98">
      <w:pPr>
        <w:pStyle w:val="Balk1"/>
        <w:rPr>
          <w:rFonts w:ascii="Times New Roman" w:hAnsi="Times New Roman" w:cs="Times New Roman"/>
        </w:rPr>
      </w:pPr>
      <w:r>
        <w:rPr>
          <w:rFonts w:ascii="Times New Roman" w:hAnsi="Times New Roman" w:cs="Times New Roman"/>
        </w:rPr>
        <w:t>7</w:t>
      </w:r>
      <w:r w:rsidR="00D6628B" w:rsidRPr="00EC0A98">
        <w:rPr>
          <w:rFonts w:ascii="Times New Roman" w:hAnsi="Times New Roman" w:cs="Times New Roman"/>
        </w:rPr>
        <w:t>. KANIT LİSTESİ VE KAYNAKLAR</w:t>
      </w:r>
    </w:p>
    <w:p w:rsidR="007A3F65" w:rsidRPr="00EC0A98" w:rsidRDefault="00D6628B">
      <w:pPr>
        <w:rPr>
          <w:rFonts w:cs="Times New Roman"/>
        </w:rPr>
      </w:pPr>
      <w:r w:rsidRPr="00EC0A98">
        <w:rPr>
          <w:rFonts w:cs="Times New Roman"/>
        </w:rPr>
        <w:t xml:space="preserve">Aşağıdaki kanıtlar, bu </w:t>
      </w:r>
      <w:r w:rsidR="00CD69D5">
        <w:rPr>
          <w:rFonts w:cs="Times New Roman"/>
        </w:rPr>
        <w:t>Nihai</w:t>
      </w:r>
      <w:r w:rsidRPr="00EC0A98">
        <w:rPr>
          <w:rFonts w:cs="Times New Roman"/>
        </w:rPr>
        <w:t xml:space="preserve"> metnin hazırlanmasında kullanılan açık kaynaklı resmi belgelerdir. Nihai raporda bu kanıtlara EBYS ve kurul kararları gibi iç kanıtlar eklenmelidir.</w:t>
      </w:r>
    </w:p>
    <w:tbl>
      <w:tblPr>
        <w:tblStyle w:val="TabloKlavuzu"/>
        <w:tblW w:w="0" w:type="auto"/>
        <w:jc w:val="center"/>
        <w:tblLook w:val="04A0" w:firstRow="1" w:lastRow="0" w:firstColumn="1" w:lastColumn="0" w:noHBand="0" w:noVBand="1"/>
      </w:tblPr>
      <w:tblGrid>
        <w:gridCol w:w="715"/>
        <w:gridCol w:w="2784"/>
        <w:gridCol w:w="6123"/>
      </w:tblGrid>
      <w:tr w:rsidR="007A3F65" w:rsidRPr="00EC0A98">
        <w:trPr>
          <w:jc w:val="center"/>
        </w:trPr>
        <w:tc>
          <w:tcPr>
            <w:tcW w:w="794" w:type="dxa"/>
            <w:shd w:val="clear" w:color="auto" w:fill="D9EAF7"/>
            <w:vAlign w:val="center"/>
          </w:tcPr>
          <w:p w:rsidR="007A3F65" w:rsidRPr="00EC0A98" w:rsidRDefault="00D6628B">
            <w:pPr>
              <w:spacing w:after="0"/>
              <w:jc w:val="center"/>
              <w:rPr>
                <w:rFonts w:cs="Times New Roman"/>
              </w:rPr>
            </w:pPr>
            <w:r w:rsidRPr="00EC0A98">
              <w:rPr>
                <w:rFonts w:cs="Times New Roman"/>
                <w:b/>
                <w:sz w:val="16"/>
              </w:rPr>
              <w:t>Kod</w:t>
            </w:r>
          </w:p>
        </w:tc>
        <w:tc>
          <w:tcPr>
            <w:tcW w:w="3402" w:type="dxa"/>
            <w:shd w:val="clear" w:color="auto" w:fill="D9EAF7"/>
            <w:vAlign w:val="center"/>
          </w:tcPr>
          <w:p w:rsidR="007A3F65" w:rsidRPr="00EC0A98" w:rsidRDefault="00D6628B">
            <w:pPr>
              <w:spacing w:after="0"/>
              <w:jc w:val="center"/>
              <w:rPr>
                <w:rFonts w:cs="Times New Roman"/>
              </w:rPr>
            </w:pPr>
            <w:r w:rsidRPr="00EC0A98">
              <w:rPr>
                <w:rFonts w:cs="Times New Roman"/>
                <w:b/>
                <w:sz w:val="16"/>
              </w:rPr>
              <w:t>Kanıt/Kaynak</w:t>
            </w:r>
          </w:p>
        </w:tc>
        <w:tc>
          <w:tcPr>
            <w:tcW w:w="5216" w:type="dxa"/>
            <w:shd w:val="clear" w:color="auto" w:fill="D9EAF7"/>
            <w:vAlign w:val="center"/>
          </w:tcPr>
          <w:p w:rsidR="007A3F65" w:rsidRPr="00EC0A98" w:rsidRDefault="00D6628B">
            <w:pPr>
              <w:spacing w:after="0"/>
              <w:jc w:val="center"/>
              <w:rPr>
                <w:rFonts w:cs="Times New Roman"/>
              </w:rPr>
            </w:pPr>
            <w:r w:rsidRPr="00EC0A98">
              <w:rPr>
                <w:rFonts w:cs="Times New Roman"/>
                <w:b/>
                <w:sz w:val="16"/>
              </w:rPr>
              <w:t>Bağlantı / Açıklama</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K1</w:t>
            </w:r>
          </w:p>
        </w:tc>
        <w:tc>
          <w:tcPr>
            <w:tcW w:w="3402" w:type="dxa"/>
            <w:vAlign w:val="center"/>
          </w:tcPr>
          <w:p w:rsidR="007A3F65" w:rsidRPr="00EC0A98" w:rsidRDefault="00D6628B">
            <w:pPr>
              <w:spacing w:after="0"/>
              <w:jc w:val="left"/>
              <w:rPr>
                <w:rFonts w:cs="Times New Roman"/>
              </w:rPr>
            </w:pPr>
            <w:r w:rsidRPr="00EC0A98">
              <w:rPr>
                <w:rFonts w:cs="Times New Roman"/>
                <w:sz w:val="16"/>
              </w:rPr>
              <w:t>Kilis 7 Aralık Üniversitesi İlahiyat Fakültesi 2025 Yılı Akademik Birim Raporu</w:t>
            </w:r>
          </w:p>
        </w:tc>
        <w:tc>
          <w:tcPr>
            <w:tcW w:w="5216" w:type="dxa"/>
            <w:vAlign w:val="center"/>
          </w:tcPr>
          <w:p w:rsidR="007A3F65" w:rsidRPr="00EC0A98" w:rsidRDefault="00D6628B">
            <w:pPr>
              <w:spacing w:after="0"/>
              <w:jc w:val="left"/>
              <w:rPr>
                <w:rFonts w:cs="Times New Roman"/>
              </w:rPr>
            </w:pPr>
            <w:r w:rsidRPr="00EC0A98">
              <w:rPr>
                <w:rFonts w:cs="Times New Roman"/>
                <w:sz w:val="16"/>
              </w:rPr>
              <w:t>https://ilahiyat.kilis.edu.tr/documentFiles/1770383922721.2025%20Faaliyet%20Raporu.pdf</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K2</w:t>
            </w:r>
          </w:p>
        </w:tc>
        <w:tc>
          <w:tcPr>
            <w:tcW w:w="3402" w:type="dxa"/>
            <w:vAlign w:val="center"/>
          </w:tcPr>
          <w:p w:rsidR="007A3F65" w:rsidRPr="00EC0A98" w:rsidRDefault="00D6628B">
            <w:pPr>
              <w:spacing w:after="0"/>
              <w:jc w:val="left"/>
              <w:rPr>
                <w:rFonts w:cs="Times New Roman"/>
              </w:rPr>
            </w:pPr>
            <w:r w:rsidRPr="00EC0A98">
              <w:rPr>
                <w:rFonts w:cs="Times New Roman"/>
                <w:sz w:val="16"/>
              </w:rPr>
              <w:t>PUKÖ Döngüsü Süreç İzleme Tablosu</w:t>
            </w:r>
          </w:p>
        </w:tc>
        <w:tc>
          <w:tcPr>
            <w:tcW w:w="5216" w:type="dxa"/>
            <w:vAlign w:val="center"/>
          </w:tcPr>
          <w:p w:rsidR="007A3F65" w:rsidRPr="00EC0A98" w:rsidRDefault="00D6628B">
            <w:pPr>
              <w:spacing w:after="0"/>
              <w:jc w:val="left"/>
              <w:rPr>
                <w:rFonts w:cs="Times New Roman"/>
              </w:rPr>
            </w:pPr>
            <w:r w:rsidRPr="00EC0A98">
              <w:rPr>
                <w:rFonts w:cs="Times New Roman"/>
                <w:sz w:val="16"/>
              </w:rPr>
              <w:t>https://ilahiyat.kilis.edu.tr/documentFiles/1770968477140.p%C3%BCko%202025.pdf</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K3</w:t>
            </w:r>
          </w:p>
        </w:tc>
        <w:tc>
          <w:tcPr>
            <w:tcW w:w="3402" w:type="dxa"/>
            <w:vAlign w:val="center"/>
          </w:tcPr>
          <w:p w:rsidR="007A3F65" w:rsidRPr="00EC0A98" w:rsidRDefault="00D6628B">
            <w:pPr>
              <w:spacing w:after="0"/>
              <w:jc w:val="center"/>
              <w:rPr>
                <w:rFonts w:cs="Times New Roman"/>
              </w:rPr>
            </w:pPr>
            <w:r w:rsidRPr="00EC0A98">
              <w:rPr>
                <w:rFonts w:cs="Times New Roman"/>
                <w:sz w:val="16"/>
              </w:rPr>
              <w:t>Misyon</w:t>
            </w:r>
          </w:p>
        </w:tc>
        <w:tc>
          <w:tcPr>
            <w:tcW w:w="5216" w:type="dxa"/>
            <w:vAlign w:val="center"/>
          </w:tcPr>
          <w:p w:rsidR="007A3F65" w:rsidRPr="00EC0A98" w:rsidRDefault="00D6628B">
            <w:pPr>
              <w:spacing w:after="0"/>
              <w:jc w:val="left"/>
              <w:rPr>
                <w:rFonts w:cs="Times New Roman"/>
              </w:rPr>
            </w:pPr>
            <w:r w:rsidRPr="00EC0A98">
              <w:rPr>
                <w:rFonts w:cs="Times New Roman"/>
                <w:sz w:val="16"/>
              </w:rPr>
              <w:t>https://ilahiyat.kilis.edu.tr/tr/page/2962</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K4</w:t>
            </w:r>
          </w:p>
        </w:tc>
        <w:tc>
          <w:tcPr>
            <w:tcW w:w="3402" w:type="dxa"/>
            <w:vAlign w:val="center"/>
          </w:tcPr>
          <w:p w:rsidR="007A3F65" w:rsidRPr="00EC0A98" w:rsidRDefault="00D6628B">
            <w:pPr>
              <w:spacing w:after="0"/>
              <w:jc w:val="center"/>
              <w:rPr>
                <w:rFonts w:cs="Times New Roman"/>
              </w:rPr>
            </w:pPr>
            <w:r w:rsidRPr="00EC0A98">
              <w:rPr>
                <w:rFonts w:cs="Times New Roman"/>
                <w:sz w:val="16"/>
              </w:rPr>
              <w:t>Vizyon</w:t>
            </w:r>
          </w:p>
        </w:tc>
        <w:tc>
          <w:tcPr>
            <w:tcW w:w="5216" w:type="dxa"/>
            <w:vAlign w:val="center"/>
          </w:tcPr>
          <w:p w:rsidR="007A3F65" w:rsidRPr="00EC0A98" w:rsidRDefault="00D6628B">
            <w:pPr>
              <w:spacing w:after="0"/>
              <w:jc w:val="left"/>
              <w:rPr>
                <w:rFonts w:cs="Times New Roman"/>
              </w:rPr>
            </w:pPr>
            <w:r w:rsidRPr="00EC0A98">
              <w:rPr>
                <w:rFonts w:cs="Times New Roman"/>
                <w:sz w:val="16"/>
              </w:rPr>
              <w:t>https://ilahiyat.kilis.edu.tr/tr/page/2964</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K5</w:t>
            </w:r>
          </w:p>
        </w:tc>
        <w:tc>
          <w:tcPr>
            <w:tcW w:w="3402" w:type="dxa"/>
            <w:vAlign w:val="center"/>
          </w:tcPr>
          <w:p w:rsidR="007A3F65" w:rsidRPr="00EC0A98" w:rsidRDefault="00D6628B">
            <w:pPr>
              <w:spacing w:after="0"/>
              <w:jc w:val="left"/>
              <w:rPr>
                <w:rFonts w:cs="Times New Roman"/>
              </w:rPr>
            </w:pPr>
            <w:r w:rsidRPr="00EC0A98">
              <w:rPr>
                <w:rFonts w:cs="Times New Roman"/>
                <w:sz w:val="16"/>
              </w:rPr>
              <w:t>Birim Kalite Komitesi</w:t>
            </w:r>
          </w:p>
        </w:tc>
        <w:tc>
          <w:tcPr>
            <w:tcW w:w="5216" w:type="dxa"/>
            <w:vAlign w:val="center"/>
          </w:tcPr>
          <w:p w:rsidR="007A3F65" w:rsidRPr="00EC0A98" w:rsidRDefault="00D6628B">
            <w:pPr>
              <w:spacing w:after="0"/>
              <w:jc w:val="left"/>
              <w:rPr>
                <w:rFonts w:cs="Times New Roman"/>
              </w:rPr>
            </w:pPr>
            <w:r w:rsidRPr="00EC0A98">
              <w:rPr>
                <w:rFonts w:cs="Times New Roman"/>
                <w:sz w:val="16"/>
              </w:rPr>
              <w:t>https://ilahiyat.kilis.edu.tr/tr/page/6581</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K6</w:t>
            </w:r>
          </w:p>
        </w:tc>
        <w:tc>
          <w:tcPr>
            <w:tcW w:w="3402" w:type="dxa"/>
            <w:vAlign w:val="center"/>
          </w:tcPr>
          <w:p w:rsidR="007A3F65" w:rsidRPr="00EC0A98" w:rsidRDefault="00D6628B">
            <w:pPr>
              <w:spacing w:after="0"/>
              <w:jc w:val="left"/>
              <w:rPr>
                <w:rFonts w:cs="Times New Roman"/>
              </w:rPr>
            </w:pPr>
            <w:r w:rsidRPr="00EC0A98">
              <w:rPr>
                <w:rFonts w:cs="Times New Roman"/>
                <w:sz w:val="16"/>
              </w:rPr>
              <w:t>Komisyon ve Kurul Faaliyetleri</w:t>
            </w:r>
          </w:p>
        </w:tc>
        <w:tc>
          <w:tcPr>
            <w:tcW w:w="5216" w:type="dxa"/>
            <w:vAlign w:val="center"/>
          </w:tcPr>
          <w:p w:rsidR="007A3F65" w:rsidRPr="00EC0A98" w:rsidRDefault="00D6628B">
            <w:pPr>
              <w:spacing w:after="0"/>
              <w:jc w:val="left"/>
              <w:rPr>
                <w:rFonts w:cs="Times New Roman"/>
              </w:rPr>
            </w:pPr>
            <w:r w:rsidRPr="00EC0A98">
              <w:rPr>
                <w:rFonts w:cs="Times New Roman"/>
                <w:sz w:val="16"/>
              </w:rPr>
              <w:t>https://ilahiyat.kilis.edu.tr/tr/page/6540</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K7</w:t>
            </w:r>
          </w:p>
        </w:tc>
        <w:tc>
          <w:tcPr>
            <w:tcW w:w="3402" w:type="dxa"/>
            <w:vAlign w:val="center"/>
          </w:tcPr>
          <w:p w:rsidR="007A3F65" w:rsidRPr="00EC0A98" w:rsidRDefault="00D6628B">
            <w:pPr>
              <w:spacing w:after="0"/>
              <w:jc w:val="left"/>
              <w:rPr>
                <w:rFonts w:cs="Times New Roman"/>
              </w:rPr>
            </w:pPr>
            <w:r w:rsidRPr="00EC0A98">
              <w:rPr>
                <w:rFonts w:cs="Times New Roman"/>
                <w:sz w:val="16"/>
              </w:rPr>
              <w:t>Uluslararası Danışma Kurulu</w:t>
            </w:r>
          </w:p>
        </w:tc>
        <w:tc>
          <w:tcPr>
            <w:tcW w:w="5216" w:type="dxa"/>
            <w:vAlign w:val="center"/>
          </w:tcPr>
          <w:p w:rsidR="007A3F65" w:rsidRPr="00EC0A98" w:rsidRDefault="00D6628B">
            <w:pPr>
              <w:spacing w:after="0"/>
              <w:jc w:val="left"/>
              <w:rPr>
                <w:rFonts w:cs="Times New Roman"/>
              </w:rPr>
            </w:pPr>
            <w:r w:rsidRPr="00EC0A98">
              <w:rPr>
                <w:rFonts w:cs="Times New Roman"/>
                <w:sz w:val="16"/>
              </w:rPr>
              <w:t>https://ilahiyat.kilis.edu.tr/tr/page/6970</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K8</w:t>
            </w:r>
          </w:p>
        </w:tc>
        <w:tc>
          <w:tcPr>
            <w:tcW w:w="3402" w:type="dxa"/>
            <w:vAlign w:val="center"/>
          </w:tcPr>
          <w:p w:rsidR="007A3F65" w:rsidRPr="00EC0A98" w:rsidRDefault="00D6628B">
            <w:pPr>
              <w:spacing w:after="0"/>
              <w:jc w:val="left"/>
              <w:rPr>
                <w:rFonts w:cs="Times New Roman"/>
              </w:rPr>
            </w:pPr>
            <w:r w:rsidRPr="00EC0A98">
              <w:rPr>
                <w:rFonts w:cs="Times New Roman"/>
                <w:sz w:val="16"/>
              </w:rPr>
              <w:t>Fakülte Ana Sayfası ve Menü Yapısı</w:t>
            </w:r>
          </w:p>
        </w:tc>
        <w:tc>
          <w:tcPr>
            <w:tcW w:w="5216" w:type="dxa"/>
            <w:vAlign w:val="center"/>
          </w:tcPr>
          <w:p w:rsidR="007A3F65" w:rsidRPr="00EC0A98" w:rsidRDefault="00D6628B">
            <w:pPr>
              <w:spacing w:after="0"/>
              <w:jc w:val="left"/>
              <w:rPr>
                <w:rFonts w:cs="Times New Roman"/>
              </w:rPr>
            </w:pPr>
            <w:r w:rsidRPr="00EC0A98">
              <w:rPr>
                <w:rFonts w:cs="Times New Roman"/>
                <w:sz w:val="16"/>
              </w:rPr>
              <w:t>https://ilahiyat.kilis.edu.tr/</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K9</w:t>
            </w:r>
          </w:p>
        </w:tc>
        <w:tc>
          <w:tcPr>
            <w:tcW w:w="3402" w:type="dxa"/>
            <w:vAlign w:val="center"/>
          </w:tcPr>
          <w:p w:rsidR="007A3F65" w:rsidRPr="00EC0A98" w:rsidRDefault="00D6628B">
            <w:pPr>
              <w:spacing w:after="0"/>
              <w:jc w:val="center"/>
              <w:rPr>
                <w:rFonts w:cs="Times New Roman"/>
              </w:rPr>
            </w:pPr>
            <w:r w:rsidRPr="00EC0A98">
              <w:rPr>
                <w:rFonts w:cs="Times New Roman"/>
                <w:sz w:val="16"/>
              </w:rPr>
              <w:t>Birim Formları</w:t>
            </w:r>
          </w:p>
        </w:tc>
        <w:tc>
          <w:tcPr>
            <w:tcW w:w="5216" w:type="dxa"/>
            <w:vAlign w:val="center"/>
          </w:tcPr>
          <w:p w:rsidR="007A3F65" w:rsidRPr="00EC0A98" w:rsidRDefault="00D6628B">
            <w:pPr>
              <w:spacing w:after="0"/>
              <w:jc w:val="left"/>
              <w:rPr>
                <w:rFonts w:cs="Times New Roman"/>
              </w:rPr>
            </w:pPr>
            <w:r w:rsidRPr="00EC0A98">
              <w:rPr>
                <w:rFonts w:cs="Times New Roman"/>
                <w:sz w:val="16"/>
              </w:rPr>
              <w:t>https://ilahiyat.kilis.edu.tr/tr/department-forms</w:t>
            </w:r>
          </w:p>
        </w:tc>
      </w:tr>
      <w:tr w:rsidR="007A3F65" w:rsidRPr="00EC0A98">
        <w:trPr>
          <w:jc w:val="center"/>
        </w:trPr>
        <w:tc>
          <w:tcPr>
            <w:tcW w:w="794" w:type="dxa"/>
            <w:vAlign w:val="center"/>
          </w:tcPr>
          <w:p w:rsidR="007A3F65" w:rsidRPr="00EC0A98" w:rsidRDefault="00D6628B">
            <w:pPr>
              <w:spacing w:after="0"/>
              <w:jc w:val="center"/>
              <w:rPr>
                <w:rFonts w:cs="Times New Roman"/>
              </w:rPr>
            </w:pPr>
            <w:r w:rsidRPr="00EC0A98">
              <w:rPr>
                <w:rFonts w:cs="Times New Roman"/>
                <w:sz w:val="16"/>
              </w:rPr>
              <w:t>K10</w:t>
            </w:r>
          </w:p>
        </w:tc>
        <w:tc>
          <w:tcPr>
            <w:tcW w:w="3402" w:type="dxa"/>
            <w:vAlign w:val="center"/>
          </w:tcPr>
          <w:p w:rsidR="007A3F65" w:rsidRPr="00EC0A98" w:rsidRDefault="00D6628B">
            <w:pPr>
              <w:spacing w:after="0"/>
              <w:jc w:val="left"/>
              <w:rPr>
                <w:rFonts w:cs="Times New Roman"/>
              </w:rPr>
            </w:pPr>
            <w:r w:rsidRPr="00EC0A98">
              <w:rPr>
                <w:rFonts w:cs="Times New Roman"/>
                <w:sz w:val="16"/>
              </w:rPr>
              <w:t>İlahiyat Fakültesi 2025 BÖDR Örneği</w:t>
            </w:r>
          </w:p>
        </w:tc>
        <w:tc>
          <w:tcPr>
            <w:tcW w:w="5216" w:type="dxa"/>
            <w:vAlign w:val="center"/>
          </w:tcPr>
          <w:p w:rsidR="007A3F65" w:rsidRPr="00EC0A98" w:rsidRDefault="00D6628B">
            <w:pPr>
              <w:spacing w:after="0"/>
              <w:jc w:val="left"/>
              <w:rPr>
                <w:rFonts w:cs="Times New Roman"/>
              </w:rPr>
            </w:pPr>
            <w:r w:rsidRPr="00EC0A98">
              <w:rPr>
                <w:rFonts w:cs="Times New Roman"/>
                <w:sz w:val="16"/>
              </w:rPr>
              <w:t>Kullanıcı tarafından yüklenen PDF: ilahiyat-fakultesi-birim-oz-degerlendirme-raporu-2025-11022026.pdf</w:t>
            </w:r>
          </w:p>
        </w:tc>
      </w:tr>
    </w:tbl>
    <w:p w:rsidR="007A3F65" w:rsidRPr="00EC0A98" w:rsidRDefault="00D6628B">
      <w:pPr>
        <w:rPr>
          <w:rFonts w:cs="Times New Roman"/>
        </w:rPr>
      </w:pPr>
      <w:r w:rsidRPr="00EC0A98">
        <w:rPr>
          <w:rFonts w:cs="Times New Roman"/>
          <w:i/>
        </w:rPr>
        <w:t xml:space="preserve">Bu </w:t>
      </w:r>
      <w:r w:rsidR="00CD69D5">
        <w:rPr>
          <w:rFonts w:cs="Times New Roman"/>
          <w:i/>
        </w:rPr>
        <w:t>Nihai</w:t>
      </w:r>
      <w:r w:rsidRPr="00EC0A98">
        <w:rPr>
          <w:rFonts w:cs="Times New Roman"/>
          <w:i/>
        </w:rPr>
        <w:t>, nihai raporun veri doğrulama aşamasına geçmesi için hazırlanmıştır. Nihai sürümde “</w:t>
      </w:r>
      <w:r w:rsidR="00CD69D5">
        <w:rPr>
          <w:rFonts w:cs="Times New Roman"/>
          <w:i/>
        </w:rPr>
        <w:t>Nihai</w:t>
      </w:r>
      <w:r w:rsidRPr="00EC0A98">
        <w:rPr>
          <w:rFonts w:cs="Times New Roman"/>
          <w:i/>
        </w:rPr>
        <w:t xml:space="preserve"> OD” ibareleri komisyon kararıyla kesinleştirilmeli; her alt ölçütün altında iç kanıt numaraları ve bağlantıları verilmelidir.</w:t>
      </w:r>
    </w:p>
    <w:sectPr w:rsidR="007A3F65" w:rsidRPr="00EC0A98" w:rsidSect="00034616">
      <w:headerReference w:type="default" r:id="rId8"/>
      <w:footerReference w:type="default" r:id="rId9"/>
      <w:pgSz w:w="12240" w:h="15840"/>
      <w:pgMar w:top="1247" w:right="1304" w:bottom="1134" w:left="130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59E" w:rsidRDefault="006A059E">
      <w:pPr>
        <w:spacing w:after="0" w:line="240" w:lineRule="auto"/>
      </w:pPr>
      <w:r>
        <w:separator/>
      </w:r>
    </w:p>
  </w:endnote>
  <w:endnote w:type="continuationSeparator" w:id="0">
    <w:p w:rsidR="006A059E" w:rsidRDefault="006A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65" w:rsidRDefault="00D6628B">
    <w:pPr>
      <w:pStyle w:val="AltBilgi"/>
      <w:jc w:val="center"/>
    </w:pPr>
    <w:r>
      <w:rPr>
        <w:sz w:val="18"/>
      </w:rPr>
      <w:t xml:space="preserve">Sayfa </w:t>
    </w:r>
    <w:r>
      <w:rPr>
        <w:sz w:val="18"/>
      </w:rPr>
      <w:fldChar w:fldCharType="begin"/>
    </w:r>
    <w:r>
      <w:rPr>
        <w:sz w:val="18"/>
      </w:rPr>
      <w:instrText xml:space="preserve"> PAGE </w:instrText>
    </w:r>
    <w:r>
      <w:rPr>
        <w:sz w:val="18"/>
      </w:rPr>
      <w:fldChar w:fldCharType="separate"/>
    </w:r>
    <w:r w:rsidR="00CD69D5">
      <w:rPr>
        <w:noProof/>
        <w:sz w:val="18"/>
      </w:rPr>
      <w:t>10</w:t>
    </w:r>
    <w:r>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59E" w:rsidRDefault="006A059E">
      <w:pPr>
        <w:spacing w:after="0" w:line="240" w:lineRule="auto"/>
      </w:pPr>
      <w:r>
        <w:separator/>
      </w:r>
    </w:p>
  </w:footnote>
  <w:footnote w:type="continuationSeparator" w:id="0">
    <w:p w:rsidR="006A059E" w:rsidRDefault="006A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65" w:rsidRDefault="00D6628B">
    <w:pPr>
      <w:pStyle w:val="stBilgi"/>
      <w:jc w:val="center"/>
    </w:pPr>
    <w:r>
      <w:rPr>
        <w:i/>
        <w:sz w:val="18"/>
      </w:rPr>
      <w:t>Kilis 7 Aralık Üniversitesi İlahiyat Fakültesi - Birim Öz Değerlendirme Raporu Taslağı</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6A059E"/>
    <w:rsid w:val="007A3F65"/>
    <w:rsid w:val="007B3954"/>
    <w:rsid w:val="00AA1D8D"/>
    <w:rsid w:val="00B47730"/>
    <w:rsid w:val="00CB0664"/>
    <w:rsid w:val="00CD69D5"/>
    <w:rsid w:val="00D6628B"/>
    <w:rsid w:val="00EC0A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D80D6"/>
  <w14:defaultImageDpi w14:val="300"/>
  <w15:docId w15:val="{E9CF7FF9-83CB-410C-90C8-82FAC90F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80" w:line="259" w:lineRule="auto"/>
      <w:jc w:val="both"/>
    </w:pPr>
    <w:rPr>
      <w:rFonts w:ascii="Times New Roman" w:eastAsia="Times New Roman" w:hAnsi="Times New Roman"/>
    </w:rPr>
  </w:style>
  <w:style w:type="paragraph" w:styleId="Balk1">
    <w:name w:val="heading 1"/>
    <w:basedOn w:val="Normal"/>
    <w:next w:val="Normal"/>
    <w:link w:val="Balk1Char"/>
    <w:uiPriority w:val="9"/>
    <w:qFormat/>
    <w:rsid w:val="00FC693F"/>
    <w:pPr>
      <w:keepNext/>
      <w:keepLines/>
      <w:spacing w:before="200" w:after="120"/>
      <w:outlineLvl w:val="0"/>
    </w:pPr>
    <w:rPr>
      <w:rFonts w:asciiTheme="majorHAnsi" w:eastAsiaTheme="majorEastAsia" w:hAnsiTheme="majorHAnsi" w:cstheme="majorBidi"/>
      <w:b/>
      <w:bCs/>
      <w:color w:val="000000"/>
      <w:sz w:val="26"/>
      <w:szCs w:val="28"/>
    </w:rPr>
  </w:style>
  <w:style w:type="paragraph" w:styleId="Balk2">
    <w:name w:val="heading 2"/>
    <w:basedOn w:val="Normal"/>
    <w:next w:val="Normal"/>
    <w:link w:val="Balk2Char"/>
    <w:uiPriority w:val="9"/>
    <w:unhideWhenUsed/>
    <w:qFormat/>
    <w:rsid w:val="00FC693F"/>
    <w:pPr>
      <w:keepNext/>
      <w:keepLines/>
      <w:spacing w:before="200" w:after="120"/>
      <w:outlineLvl w:val="1"/>
    </w:pPr>
    <w:rPr>
      <w:rFonts w:asciiTheme="majorHAnsi" w:eastAsiaTheme="majorEastAsia" w:hAnsiTheme="majorHAnsi" w:cstheme="majorBidi"/>
      <w:b/>
      <w:bCs/>
      <w:color w:val="000000"/>
      <w:sz w:val="24"/>
      <w:szCs w:val="26"/>
    </w:rPr>
  </w:style>
  <w:style w:type="paragraph" w:styleId="Balk3">
    <w:name w:val="heading 3"/>
    <w:basedOn w:val="Normal"/>
    <w:next w:val="Normal"/>
    <w:link w:val="Balk3Char"/>
    <w:uiPriority w:val="9"/>
    <w:unhideWhenUsed/>
    <w:qFormat/>
    <w:rsid w:val="00FC693F"/>
    <w:pPr>
      <w:keepNext/>
      <w:keepLines/>
      <w:spacing w:before="200" w:after="120"/>
      <w:outlineLvl w:val="2"/>
    </w:pPr>
    <w:rPr>
      <w:rFonts w:asciiTheme="majorHAnsi" w:eastAsiaTheme="majorEastAsia" w:hAnsiTheme="majorHAnsi" w:cstheme="majorBidi"/>
      <w:b/>
      <w:bCs/>
      <w:color w:val="000000"/>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Title">
    <w:name w:val="CoverTitle"/>
    <w:pPr>
      <w:spacing w:after="160"/>
      <w:jc w:val="center"/>
    </w:pPr>
    <w:rPr>
      <w:rFonts w:ascii="Times New Roman" w:eastAsia="Times New Roman" w:hAnsi="Times New Roman"/>
      <w:b/>
      <w:sz w:val="32"/>
    </w:rPr>
  </w:style>
  <w:style w:type="paragraph" w:customStyle="1" w:styleId="SmallText">
    <w:name w:val="SmallText"/>
    <w:pPr>
      <w:spacing w:after="40" w:line="240" w:lineRule="auto"/>
    </w:pPr>
    <w:rPr>
      <w:rFonts w:ascii="Times New Roman" w:eastAsia="Times New Roman" w:hAnsi="Times New Roman"/>
      <w:sz w:val="18"/>
    </w:rPr>
  </w:style>
  <w:style w:type="paragraph" w:customStyle="1" w:styleId="Evidence">
    <w:name w:val="Evidence"/>
    <w:pPr>
      <w:spacing w:after="20" w:line="240" w:lineRule="auto"/>
      <w:ind w:left="198" w:hanging="142"/>
    </w:pPr>
    <w:rPr>
      <w:rFonts w:ascii="Times New Roman" w:eastAsia="Times New Roman" w:hAnsi="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EE03E-FD5B-4895-B14A-121B32A2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5413</Words>
  <Characters>30856</Characters>
  <Application>Microsoft Office Word</Application>
  <DocSecurity>0</DocSecurity>
  <Lines>257</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Kilis 7 Aralık Üniversitesi İlahiyat Fakültesi BÖDR Geliştirilmiş Taslak</vt:lpstr>
      <vt:lpstr/>
    </vt:vector>
  </TitlesOfParts>
  <Manager/>
  <Company/>
  <LinksUpToDate>false</LinksUpToDate>
  <CharactersWithSpaces>36197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Kilis 7 Aralık Üniversitesi İlahiyat Fakültesi BÖDR Geliştirilmiş Taslak</dc:title>
  <dc:subject/>
  <dc:creator>OpenAI</dc:creator>
  <cp:keywords/>
  <dc:description>generated by python-docx</dc:description>
  <cp:lastModifiedBy>pc</cp:lastModifiedBy>
  <cp:revision>3</cp:revision>
  <dcterms:created xsi:type="dcterms:W3CDTF">2026-06-15T10:16:00Z</dcterms:created>
  <dcterms:modified xsi:type="dcterms:W3CDTF">2026-06-15T10:17:00Z</dcterms:modified>
  <cp:category/>
</cp:coreProperties>
</file>